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FB044" w14:textId="77777777" w:rsidR="004C0156" w:rsidRDefault="004C0156" w:rsidP="004C0156">
      <w:pPr>
        <w:rPr>
          <w:rFonts w:ascii="Arial" w:eastAsia="Arial" w:hAnsi="Arial" w:cs="Arial"/>
          <w:b/>
          <w:color w:val="000000"/>
          <w:sz w:val="28"/>
          <w:u w:val="single"/>
        </w:rPr>
      </w:pPr>
      <w:r w:rsidRPr="0001771B">
        <w:rPr>
          <w:rFonts w:ascii="Arial" w:eastAsia="Arial" w:hAnsi="Arial" w:cs="Arial"/>
          <w:b/>
          <w:color w:val="000000"/>
          <w:sz w:val="28"/>
          <w:u w:val="single"/>
        </w:rPr>
        <w:t>For immediate release</w:t>
      </w:r>
    </w:p>
    <w:p w14:paraId="5DA6B509" w14:textId="77777777" w:rsidR="009A4D93" w:rsidRDefault="009A4D93" w:rsidP="007E06DC">
      <w:pPr>
        <w:ind w:right="-450"/>
        <w:rPr>
          <w:rFonts w:ascii="Arial" w:hAnsi="Arial" w:cs="Arial"/>
          <w:b/>
          <w:color w:val="FF0000"/>
          <w:sz w:val="22"/>
          <w:szCs w:val="22"/>
          <w:lang w:val="en-GB"/>
        </w:rPr>
      </w:pPr>
    </w:p>
    <w:p w14:paraId="1A97FAB9" w14:textId="3487BA16" w:rsidR="007E06DC" w:rsidRPr="004C0156" w:rsidRDefault="007E06DC" w:rsidP="007E06DC">
      <w:pPr>
        <w:ind w:right="-450"/>
        <w:rPr>
          <w:rFonts w:ascii="Arial" w:hAnsi="Arial" w:cs="Arial"/>
          <w:b/>
          <w:sz w:val="32"/>
          <w:szCs w:val="32"/>
          <w:highlight w:val="yellow"/>
        </w:rPr>
      </w:pPr>
      <w:r w:rsidRPr="004C0156">
        <w:rPr>
          <w:rFonts w:ascii="Arial" w:hAnsi="Arial" w:cs="Arial"/>
          <w:b/>
          <w:sz w:val="32"/>
          <w:szCs w:val="32"/>
          <w:lang w:val="en-GB"/>
        </w:rPr>
        <w:t xml:space="preserve">Ford – Volkswagen </w:t>
      </w:r>
      <w:r w:rsidRPr="004C0156">
        <w:rPr>
          <w:rFonts w:ascii="Arial" w:hAnsi="Arial" w:cs="Arial"/>
          <w:b/>
          <w:bCs/>
          <w:sz w:val="32"/>
          <w:szCs w:val="32"/>
          <w:lang w:val="en-GB"/>
        </w:rPr>
        <w:t xml:space="preserve">expand their global collaboration </w:t>
      </w:r>
      <w:r w:rsidRPr="004C0156">
        <w:rPr>
          <w:rFonts w:ascii="Arial" w:hAnsi="Arial" w:cs="Arial"/>
          <w:b/>
          <w:sz w:val="32"/>
          <w:szCs w:val="32"/>
          <w:lang w:val="en-GB"/>
        </w:rPr>
        <w:t>to advance autonomous driving, electrification and better serve customers</w:t>
      </w:r>
    </w:p>
    <w:p w14:paraId="137AB5FD" w14:textId="42976484" w:rsidR="006F16B7" w:rsidRPr="00B30652" w:rsidRDefault="006F16B7" w:rsidP="001F459B">
      <w:pPr>
        <w:ind w:right="-450"/>
        <w:rPr>
          <w:rFonts w:ascii="Arial" w:eastAsia="Arial" w:hAnsi="Arial" w:cs="Arial"/>
          <w:b/>
          <w:sz w:val="32"/>
          <w:szCs w:val="32"/>
        </w:rPr>
      </w:pPr>
    </w:p>
    <w:p w14:paraId="31925155" w14:textId="3E554ACA" w:rsidR="008C3D6F" w:rsidRPr="001F459B" w:rsidRDefault="008C3D6F" w:rsidP="005F6207">
      <w:pPr>
        <w:pStyle w:val="ListParagraph"/>
        <w:numPr>
          <w:ilvl w:val="0"/>
          <w:numId w:val="1"/>
        </w:numPr>
        <w:pBdr>
          <w:top w:val="nil"/>
          <w:left w:val="nil"/>
          <w:bottom w:val="nil"/>
          <w:right w:val="nil"/>
          <w:between w:val="nil"/>
        </w:pBdr>
        <w:ind w:right="-540"/>
        <w:rPr>
          <w:color w:val="000000"/>
          <w:sz w:val="22"/>
          <w:szCs w:val="22"/>
        </w:rPr>
      </w:pPr>
      <w:r w:rsidRPr="001F459B">
        <w:rPr>
          <w:rFonts w:ascii="Arial" w:eastAsia="Arial" w:hAnsi="Arial" w:cs="Arial"/>
          <w:color w:val="000000"/>
          <w:sz w:val="22"/>
          <w:szCs w:val="22"/>
        </w:rPr>
        <w:t>Volkswagen to join Ford in investing in Argo AI, the autonomous vehicle</w:t>
      </w:r>
      <w:r w:rsidR="00EB2FF5">
        <w:rPr>
          <w:rFonts w:ascii="Arial" w:eastAsia="Arial" w:hAnsi="Arial" w:cs="Arial"/>
          <w:color w:val="000000"/>
          <w:sz w:val="22"/>
          <w:szCs w:val="22"/>
        </w:rPr>
        <w:t xml:space="preserve"> platform</w:t>
      </w:r>
      <w:r w:rsidRPr="001F459B">
        <w:rPr>
          <w:rFonts w:ascii="Arial" w:eastAsia="Arial" w:hAnsi="Arial" w:cs="Arial"/>
          <w:color w:val="000000"/>
          <w:sz w:val="22"/>
          <w:szCs w:val="22"/>
        </w:rPr>
        <w:t xml:space="preserve"> company, at a valuation of </w:t>
      </w:r>
      <w:r w:rsidR="00F95BB5">
        <w:rPr>
          <w:rFonts w:ascii="Arial" w:eastAsia="Arial" w:hAnsi="Arial" w:cs="Arial"/>
          <w:color w:val="000000"/>
          <w:sz w:val="22"/>
          <w:szCs w:val="22"/>
        </w:rPr>
        <w:t xml:space="preserve">more than </w:t>
      </w:r>
      <w:r w:rsidRPr="001F459B">
        <w:rPr>
          <w:rFonts w:ascii="Arial" w:eastAsia="Arial" w:hAnsi="Arial" w:cs="Arial"/>
          <w:color w:val="000000"/>
          <w:sz w:val="22"/>
          <w:szCs w:val="22"/>
        </w:rPr>
        <w:t xml:space="preserve">$7 billion. Tie-up allows both automakers to independently integrate Argo AI’s self-driving system into their own vehicles, delivering </w:t>
      </w:r>
      <w:r w:rsidR="00C7048A">
        <w:rPr>
          <w:rFonts w:ascii="Arial" w:eastAsia="Arial" w:hAnsi="Arial" w:cs="Arial"/>
          <w:color w:val="000000"/>
          <w:sz w:val="22"/>
          <w:szCs w:val="22"/>
        </w:rPr>
        <w:t xml:space="preserve">significant </w:t>
      </w:r>
      <w:r w:rsidRPr="001F459B">
        <w:rPr>
          <w:rFonts w:ascii="Arial" w:eastAsia="Arial" w:hAnsi="Arial" w:cs="Arial"/>
          <w:color w:val="000000"/>
          <w:sz w:val="22"/>
          <w:szCs w:val="22"/>
        </w:rPr>
        <w:t>global scale</w:t>
      </w:r>
      <w:r w:rsidRPr="001F459B">
        <w:rPr>
          <w:rFonts w:ascii="Arial" w:eastAsia="Arial" w:hAnsi="Arial" w:cs="Arial"/>
          <w:color w:val="000000"/>
          <w:sz w:val="22"/>
          <w:szCs w:val="22"/>
        </w:rPr>
        <w:br/>
      </w:r>
    </w:p>
    <w:p w14:paraId="7D323DCC" w14:textId="77777777" w:rsidR="00972B37" w:rsidRPr="008C3D6F" w:rsidRDefault="00972B37" w:rsidP="00972B37">
      <w:pPr>
        <w:numPr>
          <w:ilvl w:val="0"/>
          <w:numId w:val="1"/>
        </w:numPr>
        <w:pBdr>
          <w:top w:val="nil"/>
          <w:left w:val="nil"/>
          <w:bottom w:val="nil"/>
          <w:right w:val="nil"/>
          <w:between w:val="nil"/>
        </w:pBdr>
        <w:rPr>
          <w:color w:val="000000"/>
          <w:sz w:val="22"/>
          <w:szCs w:val="22"/>
        </w:rPr>
      </w:pPr>
      <w:r w:rsidRPr="008C3D6F">
        <w:rPr>
          <w:rFonts w:ascii="Arial" w:eastAsia="Arial" w:hAnsi="Arial" w:cs="Arial"/>
          <w:color w:val="000000"/>
          <w:sz w:val="22"/>
          <w:szCs w:val="22"/>
        </w:rPr>
        <w:t>Ford will use Volkswagen’s electric vehicle architecture and Modular Electric Toolkit (MEB) to design and build at least one high-volume fully electric vehicle in Europe for European customers starting in 2023, more efficiently advancing its promise to deliver expressive passenger cars while taking advantage of Volkswagen’s scale</w:t>
      </w:r>
    </w:p>
    <w:p w14:paraId="56997E52" w14:textId="77777777" w:rsidR="004F47BF" w:rsidRDefault="004F47BF" w:rsidP="004F47BF">
      <w:pPr>
        <w:rPr>
          <w:rFonts w:ascii="Arial" w:eastAsia="Arial" w:hAnsi="Arial" w:cs="Arial"/>
          <w:sz w:val="22"/>
          <w:szCs w:val="22"/>
        </w:rPr>
      </w:pPr>
    </w:p>
    <w:p w14:paraId="598FE222" w14:textId="16DB709C" w:rsidR="006F16B7" w:rsidRDefault="008B2A4A" w:rsidP="00E60DEB">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Ford and VW on track to develop commercial vans and medium pickups for each brand </w:t>
      </w:r>
      <w:r w:rsidR="00983097">
        <w:rPr>
          <w:rFonts w:ascii="Arial" w:eastAsia="Arial" w:hAnsi="Arial" w:cs="Arial"/>
          <w:color w:val="000000"/>
          <w:sz w:val="22"/>
          <w:szCs w:val="22"/>
        </w:rPr>
        <w:t xml:space="preserve">in select global markets </w:t>
      </w:r>
      <w:r>
        <w:rPr>
          <w:rFonts w:ascii="Arial" w:eastAsia="Arial" w:hAnsi="Arial" w:cs="Arial"/>
          <w:color w:val="000000"/>
          <w:sz w:val="22"/>
          <w:szCs w:val="22"/>
        </w:rPr>
        <w:t>starting in 2022</w:t>
      </w:r>
      <w:r w:rsidR="00983097">
        <w:rPr>
          <w:rFonts w:ascii="Arial" w:eastAsia="Arial" w:hAnsi="Arial" w:cs="Arial"/>
          <w:color w:val="000000"/>
          <w:sz w:val="22"/>
          <w:szCs w:val="22"/>
        </w:rPr>
        <w:t>; sharing development costs to generate significant synergies</w:t>
      </w:r>
    </w:p>
    <w:p w14:paraId="7FE32417" w14:textId="77777777" w:rsidR="006F16B7" w:rsidRDefault="006F16B7">
      <w:pPr>
        <w:pBdr>
          <w:top w:val="nil"/>
          <w:left w:val="nil"/>
          <w:bottom w:val="nil"/>
          <w:right w:val="nil"/>
          <w:between w:val="nil"/>
        </w:pBdr>
        <w:ind w:left="360" w:hanging="720"/>
        <w:rPr>
          <w:rFonts w:ascii="Arial" w:eastAsia="Arial" w:hAnsi="Arial" w:cs="Arial"/>
          <w:color w:val="000000"/>
          <w:sz w:val="22"/>
          <w:szCs w:val="22"/>
        </w:rPr>
      </w:pPr>
    </w:p>
    <w:p w14:paraId="47EC7C38" w14:textId="77777777" w:rsidR="006F16B7" w:rsidRPr="009E4985" w:rsidRDefault="00B32FFF" w:rsidP="007F4E29">
      <w:pPr>
        <w:numPr>
          <w:ilvl w:val="0"/>
          <w:numId w:val="1"/>
        </w:numPr>
        <w:rPr>
          <w:sz w:val="22"/>
          <w:szCs w:val="22"/>
        </w:rPr>
      </w:pPr>
      <w:r>
        <w:rPr>
          <w:rFonts w:ascii="Arial" w:eastAsia="Arial" w:hAnsi="Arial" w:cs="Arial"/>
          <w:sz w:val="22"/>
          <w:szCs w:val="22"/>
        </w:rPr>
        <w:t>T</w:t>
      </w:r>
      <w:r w:rsidR="009E4985" w:rsidRPr="009E4985">
        <w:rPr>
          <w:rFonts w:ascii="Arial" w:eastAsia="Arial" w:hAnsi="Arial" w:cs="Arial"/>
          <w:sz w:val="22"/>
          <w:szCs w:val="22"/>
        </w:rPr>
        <w:t xml:space="preserve">he Volkswagen-Ford global </w:t>
      </w:r>
      <w:r w:rsidR="008B2A4A" w:rsidRPr="009E4985">
        <w:rPr>
          <w:rFonts w:ascii="Arial" w:eastAsia="Arial" w:hAnsi="Arial" w:cs="Arial"/>
          <w:sz w:val="22"/>
          <w:szCs w:val="22"/>
        </w:rPr>
        <w:t xml:space="preserve">alliance </w:t>
      </w:r>
      <w:r w:rsidR="009E4985" w:rsidRPr="009E4985">
        <w:rPr>
          <w:rFonts w:ascii="Arial" w:eastAsia="Arial" w:hAnsi="Arial" w:cs="Arial"/>
          <w:sz w:val="22"/>
          <w:szCs w:val="22"/>
        </w:rPr>
        <w:t xml:space="preserve">– which does not involve cross-ownership between the companies – </w:t>
      </w:r>
      <w:r w:rsidR="008B2A4A" w:rsidRPr="009E4985">
        <w:rPr>
          <w:rFonts w:ascii="Arial" w:eastAsia="Arial" w:hAnsi="Arial" w:cs="Arial"/>
          <w:sz w:val="22"/>
          <w:szCs w:val="22"/>
        </w:rPr>
        <w:t>is expected to create</w:t>
      </w:r>
      <w:r w:rsidR="006935C7">
        <w:rPr>
          <w:rFonts w:ascii="Arial" w:eastAsia="Arial" w:hAnsi="Arial" w:cs="Arial"/>
          <w:sz w:val="22"/>
          <w:szCs w:val="22"/>
        </w:rPr>
        <w:t xml:space="preserve"> annual</w:t>
      </w:r>
      <w:r w:rsidR="008B2A4A" w:rsidRPr="009E4985">
        <w:rPr>
          <w:rFonts w:ascii="Arial" w:eastAsia="Arial" w:hAnsi="Arial" w:cs="Arial"/>
          <w:sz w:val="22"/>
          <w:szCs w:val="22"/>
        </w:rPr>
        <w:t xml:space="preserve"> efficiencies for each company</w:t>
      </w:r>
      <w:r w:rsidR="00164604">
        <w:rPr>
          <w:rFonts w:ascii="Arial" w:eastAsia="Arial" w:hAnsi="Arial" w:cs="Arial"/>
          <w:sz w:val="22"/>
          <w:szCs w:val="22"/>
        </w:rPr>
        <w:t xml:space="preserve"> </w:t>
      </w:r>
    </w:p>
    <w:p w14:paraId="56663F8B" w14:textId="77777777" w:rsidR="006F16B7" w:rsidRDefault="006F16B7">
      <w:pPr>
        <w:rPr>
          <w:rFonts w:ascii="Arial" w:eastAsia="Arial" w:hAnsi="Arial" w:cs="Arial"/>
          <w:sz w:val="22"/>
          <w:szCs w:val="22"/>
        </w:rPr>
      </w:pPr>
    </w:p>
    <w:p w14:paraId="2BA0911D" w14:textId="4AA847F3" w:rsidR="006F16B7" w:rsidRDefault="004C0156">
      <w:pPr>
        <w:ind w:right="-180"/>
        <w:rPr>
          <w:rFonts w:ascii="Arial" w:eastAsia="Arial" w:hAnsi="Arial" w:cs="Arial"/>
          <w:sz w:val="22"/>
          <w:szCs w:val="22"/>
        </w:rPr>
      </w:pPr>
      <w:bookmarkStart w:id="0" w:name="30j0zll" w:colFirst="0" w:colLast="0"/>
      <w:bookmarkEnd w:id="0"/>
      <w:r w:rsidRPr="004C0156">
        <w:rPr>
          <w:rFonts w:ascii="Arial" w:eastAsia="Arial" w:hAnsi="Arial" w:cs="Arial"/>
          <w:b/>
          <w:sz w:val="22"/>
          <w:szCs w:val="22"/>
        </w:rPr>
        <w:t>DUBAI, UAE,</w:t>
      </w:r>
      <w:r w:rsidR="008B2A4A">
        <w:rPr>
          <w:rFonts w:ascii="Arial" w:eastAsia="Arial" w:hAnsi="Arial" w:cs="Arial"/>
          <w:b/>
          <w:sz w:val="22"/>
          <w:szCs w:val="22"/>
        </w:rPr>
        <w:t xml:space="preserve"> July 1</w:t>
      </w:r>
      <w:r w:rsidR="00F56586">
        <w:rPr>
          <w:rFonts w:ascii="Arial" w:eastAsia="Arial" w:hAnsi="Arial" w:cs="Arial"/>
          <w:b/>
          <w:sz w:val="22"/>
          <w:szCs w:val="22"/>
        </w:rPr>
        <w:t>2</w:t>
      </w:r>
      <w:bookmarkStart w:id="1" w:name="_GoBack"/>
      <w:bookmarkEnd w:id="1"/>
      <w:r w:rsidR="008B2A4A">
        <w:rPr>
          <w:rFonts w:ascii="Arial" w:eastAsia="Arial" w:hAnsi="Arial" w:cs="Arial"/>
          <w:b/>
          <w:sz w:val="22"/>
          <w:szCs w:val="22"/>
        </w:rPr>
        <w:t xml:space="preserve">, 2019 – </w:t>
      </w:r>
      <w:r w:rsidR="008B2A4A">
        <w:rPr>
          <w:rFonts w:ascii="Arial" w:eastAsia="Arial" w:hAnsi="Arial" w:cs="Arial"/>
          <w:sz w:val="22"/>
          <w:szCs w:val="22"/>
        </w:rPr>
        <w:t xml:space="preserve">Ford Motor Company and Volkswagen AG today announced they are expanding their global alliance to include electric vehicles – and will collaborate with Argo AI to introduce autonomous vehicle technology in the U.S. and Europe – positioning both companies to better serve customers while improving their competitiveness and </w:t>
      </w:r>
      <w:r w:rsidR="00BD0125">
        <w:rPr>
          <w:rFonts w:ascii="Arial" w:eastAsia="Arial" w:hAnsi="Arial" w:cs="Arial"/>
          <w:sz w:val="22"/>
          <w:szCs w:val="22"/>
        </w:rPr>
        <w:t xml:space="preserve">cost and </w:t>
      </w:r>
      <w:r w:rsidR="008B2A4A">
        <w:rPr>
          <w:rFonts w:ascii="Arial" w:eastAsia="Arial" w:hAnsi="Arial" w:cs="Arial"/>
          <w:sz w:val="22"/>
          <w:szCs w:val="22"/>
        </w:rPr>
        <w:t>capital efficienc</w:t>
      </w:r>
      <w:r w:rsidR="00BD0125">
        <w:rPr>
          <w:rFonts w:ascii="Arial" w:eastAsia="Arial" w:hAnsi="Arial" w:cs="Arial"/>
          <w:sz w:val="22"/>
          <w:szCs w:val="22"/>
        </w:rPr>
        <w:t>ies</w:t>
      </w:r>
      <w:r w:rsidR="008B2A4A">
        <w:rPr>
          <w:rFonts w:ascii="Arial" w:eastAsia="Arial" w:hAnsi="Arial" w:cs="Arial"/>
          <w:sz w:val="22"/>
          <w:szCs w:val="22"/>
        </w:rPr>
        <w:t xml:space="preserve">. </w:t>
      </w:r>
    </w:p>
    <w:p w14:paraId="49EBC24D" w14:textId="77777777" w:rsidR="006935C7" w:rsidRDefault="006935C7">
      <w:pPr>
        <w:rPr>
          <w:rFonts w:ascii="Arial" w:eastAsia="Arial" w:hAnsi="Arial" w:cs="Arial"/>
          <w:sz w:val="22"/>
          <w:szCs w:val="22"/>
        </w:rPr>
      </w:pPr>
    </w:p>
    <w:p w14:paraId="7489E9B9" w14:textId="77777777" w:rsidR="00570C07" w:rsidRDefault="008B2A4A" w:rsidP="00570C07">
      <w:pPr>
        <w:ind w:right="-90"/>
        <w:rPr>
          <w:rFonts w:ascii="Arial" w:eastAsia="Arial" w:hAnsi="Arial" w:cs="Arial"/>
          <w:sz w:val="22"/>
          <w:szCs w:val="22"/>
        </w:rPr>
      </w:pPr>
      <w:r>
        <w:rPr>
          <w:rFonts w:ascii="Arial" w:eastAsia="Arial" w:hAnsi="Arial" w:cs="Arial"/>
          <w:sz w:val="22"/>
          <w:szCs w:val="22"/>
        </w:rPr>
        <w:t>Volkswagen CEO Dr. Herbert Diess, Ford President and CEO Jim Hackett a</w:t>
      </w:r>
      <w:r w:rsidR="006434E6">
        <w:rPr>
          <w:rFonts w:ascii="Arial" w:eastAsia="Arial" w:hAnsi="Arial" w:cs="Arial"/>
          <w:sz w:val="22"/>
          <w:szCs w:val="22"/>
        </w:rPr>
        <w:t>s well as</w:t>
      </w:r>
      <w:r>
        <w:rPr>
          <w:rFonts w:ascii="Arial" w:eastAsia="Arial" w:hAnsi="Arial" w:cs="Arial"/>
          <w:sz w:val="22"/>
          <w:szCs w:val="22"/>
        </w:rPr>
        <w:t xml:space="preserve"> Argo AI CEO Bryan Salesky announced Volkswagen is joining Ford in investing in Argo AI, the autonomous vehicle technology platform company</w:t>
      </w:r>
      <w:r w:rsidR="00570C07">
        <w:rPr>
          <w:rFonts w:ascii="Arial" w:eastAsia="Arial" w:hAnsi="Arial" w:cs="Arial"/>
          <w:sz w:val="22"/>
          <w:szCs w:val="22"/>
        </w:rPr>
        <w:t>.</w:t>
      </w:r>
    </w:p>
    <w:p w14:paraId="69D851AB" w14:textId="77777777" w:rsidR="00570C07" w:rsidRDefault="00570C07" w:rsidP="005A0604">
      <w:pPr>
        <w:ind w:right="-90"/>
        <w:rPr>
          <w:rFonts w:ascii="Arial" w:eastAsia="Arial" w:hAnsi="Arial" w:cs="Arial"/>
          <w:sz w:val="22"/>
          <w:szCs w:val="22"/>
        </w:rPr>
      </w:pPr>
    </w:p>
    <w:p w14:paraId="2AC209E1" w14:textId="77777777" w:rsidR="00570C07" w:rsidRDefault="00570C07" w:rsidP="00570C07">
      <w:pPr>
        <w:ind w:right="-180"/>
        <w:rPr>
          <w:rFonts w:ascii="Arial" w:eastAsia="Arial" w:hAnsi="Arial" w:cs="Arial"/>
          <w:sz w:val="22"/>
          <w:szCs w:val="22"/>
        </w:rPr>
      </w:pPr>
      <w:r>
        <w:rPr>
          <w:rFonts w:ascii="Arial" w:eastAsia="Arial" w:hAnsi="Arial" w:cs="Arial"/>
          <w:sz w:val="22"/>
          <w:szCs w:val="22"/>
        </w:rPr>
        <w:t xml:space="preserve">Working together with Ford and Volkswagen, Argo AI’s self-driving system (SDS) is the first with commercial deployment plans for Europe and the U.S. Plus, being able to tap into both automakers’ global reach, Argo AI’s platform has the largest geographic deployment potential </w:t>
      </w:r>
      <w:r w:rsidR="00934652">
        <w:rPr>
          <w:rFonts w:ascii="Arial" w:eastAsia="Arial" w:hAnsi="Arial" w:cs="Arial"/>
          <w:sz w:val="22"/>
          <w:szCs w:val="22"/>
        </w:rPr>
        <w:t>of an</w:t>
      </w:r>
      <w:r w:rsidR="00C50279">
        <w:rPr>
          <w:rFonts w:ascii="Arial" w:eastAsia="Arial" w:hAnsi="Arial" w:cs="Arial"/>
          <w:sz w:val="22"/>
          <w:szCs w:val="22"/>
        </w:rPr>
        <w:t>y autonomous driving technology</w:t>
      </w:r>
      <w:r w:rsidR="00934652">
        <w:rPr>
          <w:rFonts w:ascii="Arial" w:eastAsia="Arial" w:hAnsi="Arial" w:cs="Arial"/>
          <w:sz w:val="22"/>
          <w:szCs w:val="22"/>
        </w:rPr>
        <w:t xml:space="preserve"> </w:t>
      </w:r>
      <w:r>
        <w:rPr>
          <w:rFonts w:ascii="Arial" w:eastAsia="Arial" w:hAnsi="Arial" w:cs="Arial"/>
          <w:sz w:val="22"/>
          <w:szCs w:val="22"/>
        </w:rPr>
        <w:t xml:space="preserve">to date. Volkswagen and Ford </w:t>
      </w:r>
      <w:r w:rsidR="00B22E7A">
        <w:rPr>
          <w:rFonts w:ascii="Arial" w:eastAsia="Arial" w:hAnsi="Arial" w:cs="Arial"/>
          <w:sz w:val="22"/>
          <w:szCs w:val="22"/>
        </w:rPr>
        <w:t xml:space="preserve">independently </w:t>
      </w:r>
      <w:r>
        <w:rPr>
          <w:rFonts w:ascii="Arial" w:eastAsia="Arial" w:hAnsi="Arial" w:cs="Arial"/>
          <w:sz w:val="22"/>
          <w:szCs w:val="22"/>
        </w:rPr>
        <w:t xml:space="preserve">will integrate Argo AI’s </w:t>
      </w:r>
      <w:r w:rsidR="00B22E7A">
        <w:rPr>
          <w:rFonts w:ascii="Arial" w:eastAsia="Arial" w:hAnsi="Arial" w:cs="Arial"/>
          <w:sz w:val="22"/>
          <w:szCs w:val="22"/>
        </w:rPr>
        <w:t xml:space="preserve">SDS into purpose-built vehicles </w:t>
      </w:r>
      <w:r>
        <w:rPr>
          <w:rFonts w:ascii="Arial" w:eastAsia="Arial" w:hAnsi="Arial" w:cs="Arial"/>
          <w:sz w:val="22"/>
          <w:szCs w:val="22"/>
        </w:rPr>
        <w:t>to support the distinct people and goods movement initiatives</w:t>
      </w:r>
      <w:r w:rsidR="004F47BF">
        <w:rPr>
          <w:rFonts w:ascii="Arial" w:eastAsia="Arial" w:hAnsi="Arial" w:cs="Arial"/>
          <w:sz w:val="22"/>
          <w:szCs w:val="22"/>
        </w:rPr>
        <w:t xml:space="preserve"> of both companies</w:t>
      </w:r>
      <w:r>
        <w:rPr>
          <w:rFonts w:ascii="Arial" w:eastAsia="Arial" w:hAnsi="Arial" w:cs="Arial"/>
          <w:sz w:val="22"/>
          <w:szCs w:val="22"/>
        </w:rPr>
        <w:t>.</w:t>
      </w:r>
    </w:p>
    <w:p w14:paraId="7101C0C5" w14:textId="77777777" w:rsidR="00570C07" w:rsidRDefault="00570C07" w:rsidP="005A0604">
      <w:pPr>
        <w:ind w:right="-90"/>
        <w:rPr>
          <w:rFonts w:ascii="Arial" w:eastAsia="Arial" w:hAnsi="Arial" w:cs="Arial"/>
          <w:sz w:val="22"/>
          <w:szCs w:val="22"/>
        </w:rPr>
      </w:pPr>
    </w:p>
    <w:p w14:paraId="6B4D4312" w14:textId="77777777" w:rsidR="00570C07" w:rsidRDefault="00570C07" w:rsidP="00570C07">
      <w:pPr>
        <w:ind w:right="-90"/>
        <w:rPr>
          <w:rFonts w:ascii="Arial" w:eastAsia="Arial" w:hAnsi="Arial" w:cs="Arial"/>
          <w:sz w:val="22"/>
          <w:szCs w:val="22"/>
        </w:rPr>
      </w:pPr>
      <w:r>
        <w:rPr>
          <w:rFonts w:ascii="Arial" w:eastAsia="Arial" w:hAnsi="Arial" w:cs="Arial"/>
          <w:sz w:val="22"/>
          <w:szCs w:val="22"/>
        </w:rPr>
        <w:t>Argo AI’s focus remains on delivering a SAE Level 4-capable SDS to be applied for ride sharing and goods delivery services in dense urban areas.</w:t>
      </w:r>
    </w:p>
    <w:p w14:paraId="0E12ECF9" w14:textId="77777777" w:rsidR="00570C07" w:rsidRDefault="00570C07" w:rsidP="00570C07">
      <w:pPr>
        <w:ind w:right="-90"/>
        <w:rPr>
          <w:rFonts w:ascii="Arial" w:eastAsia="Arial" w:hAnsi="Arial" w:cs="Arial"/>
          <w:sz w:val="22"/>
          <w:szCs w:val="22"/>
        </w:rPr>
      </w:pPr>
    </w:p>
    <w:p w14:paraId="0719C16F" w14:textId="26D2F924" w:rsidR="003637BE" w:rsidRDefault="000E3E32" w:rsidP="003637BE">
      <w:pPr>
        <w:ind w:right="-90"/>
        <w:rPr>
          <w:rFonts w:ascii="Arial" w:eastAsia="Arial" w:hAnsi="Arial" w:cs="Arial"/>
          <w:sz w:val="22"/>
          <w:szCs w:val="22"/>
        </w:rPr>
      </w:pPr>
      <w:r w:rsidRPr="001F459B">
        <w:rPr>
          <w:rFonts w:ascii="Arial" w:hAnsi="Arial" w:cs="Arial"/>
          <w:sz w:val="22"/>
          <w:szCs w:val="22"/>
        </w:rPr>
        <w:t>Ford and Volkswagen will have an equal stake in Argo AI, and combined, Volkswagen and Ford will own a substantial majority</w:t>
      </w:r>
      <w:r w:rsidR="00CA6EE7">
        <w:rPr>
          <w:rFonts w:ascii="Arial" w:eastAsia="Arial" w:hAnsi="Arial" w:cs="Arial"/>
          <w:sz w:val="22"/>
          <w:szCs w:val="22"/>
        </w:rPr>
        <w:t xml:space="preserve">. The remainder will be </w:t>
      </w:r>
      <w:r w:rsidR="00EB2FF5">
        <w:rPr>
          <w:rFonts w:ascii="Arial" w:eastAsia="Arial" w:hAnsi="Arial" w:cs="Arial"/>
          <w:sz w:val="22"/>
          <w:szCs w:val="22"/>
        </w:rPr>
        <w:t>used as</w:t>
      </w:r>
      <w:r w:rsidR="00206FAD">
        <w:rPr>
          <w:rFonts w:ascii="Arial" w:eastAsia="Arial" w:hAnsi="Arial" w:cs="Arial"/>
          <w:sz w:val="22"/>
          <w:szCs w:val="22"/>
        </w:rPr>
        <w:t xml:space="preserve"> </w:t>
      </w:r>
      <w:r w:rsidR="00CA6EE7">
        <w:rPr>
          <w:rFonts w:ascii="Arial" w:eastAsia="Arial" w:hAnsi="Arial" w:cs="Arial"/>
          <w:sz w:val="22"/>
          <w:szCs w:val="22"/>
        </w:rPr>
        <w:t>an incentive pool</w:t>
      </w:r>
      <w:r w:rsidR="00054086">
        <w:rPr>
          <w:rFonts w:ascii="Arial" w:eastAsia="Arial" w:hAnsi="Arial" w:cs="Arial"/>
          <w:sz w:val="22"/>
          <w:szCs w:val="22"/>
        </w:rPr>
        <w:t xml:space="preserve"> for Argo AI</w:t>
      </w:r>
      <w:r w:rsidR="000F1AE4">
        <w:rPr>
          <w:rFonts w:ascii="Arial" w:eastAsia="Arial" w:hAnsi="Arial" w:cs="Arial"/>
          <w:sz w:val="22"/>
          <w:szCs w:val="22"/>
        </w:rPr>
        <w:t xml:space="preserve"> employees</w:t>
      </w:r>
      <w:r w:rsidR="00CA6EE7">
        <w:rPr>
          <w:rFonts w:ascii="Arial" w:eastAsia="Arial" w:hAnsi="Arial" w:cs="Arial"/>
          <w:sz w:val="22"/>
          <w:szCs w:val="22"/>
        </w:rPr>
        <w:t xml:space="preserve">. </w:t>
      </w:r>
      <w:r w:rsidR="003637BE">
        <w:rPr>
          <w:rFonts w:ascii="Arial" w:eastAsia="Arial" w:hAnsi="Arial" w:cs="Arial"/>
          <w:sz w:val="22"/>
          <w:szCs w:val="22"/>
        </w:rPr>
        <w:t>The full transaction is subject to regulatory approvals and closing conditions.</w:t>
      </w:r>
    </w:p>
    <w:p w14:paraId="021E82EA" w14:textId="50835864" w:rsidR="00CA6EE7" w:rsidRDefault="00CA6EE7" w:rsidP="00CA6EE7">
      <w:pPr>
        <w:ind w:right="-180"/>
        <w:rPr>
          <w:rFonts w:ascii="Arial" w:eastAsia="Arial" w:hAnsi="Arial" w:cs="Arial"/>
          <w:sz w:val="22"/>
          <w:szCs w:val="22"/>
        </w:rPr>
      </w:pPr>
    </w:p>
    <w:p w14:paraId="58D8D885" w14:textId="77777777" w:rsidR="00971BF3" w:rsidRDefault="00971BF3">
      <w:pPr>
        <w:rPr>
          <w:rFonts w:ascii="Arial" w:eastAsia="Arial" w:hAnsi="Arial" w:cs="Arial"/>
          <w:sz w:val="22"/>
          <w:szCs w:val="22"/>
        </w:rPr>
      </w:pPr>
    </w:p>
    <w:p w14:paraId="577B9F78" w14:textId="77777777" w:rsidR="00971BF3" w:rsidRDefault="00971BF3">
      <w:pPr>
        <w:rPr>
          <w:rFonts w:ascii="Arial" w:eastAsia="Arial" w:hAnsi="Arial" w:cs="Arial"/>
          <w:sz w:val="22"/>
          <w:szCs w:val="22"/>
        </w:rPr>
      </w:pPr>
    </w:p>
    <w:p w14:paraId="2346E023" w14:textId="77777777" w:rsidR="00971BF3" w:rsidRDefault="00971BF3">
      <w:pPr>
        <w:rPr>
          <w:rFonts w:ascii="Arial" w:eastAsia="Arial" w:hAnsi="Arial" w:cs="Arial"/>
          <w:sz w:val="22"/>
          <w:szCs w:val="22"/>
        </w:rPr>
      </w:pPr>
    </w:p>
    <w:p w14:paraId="6790F856" w14:textId="50C7FD22" w:rsidR="006F16B7" w:rsidRDefault="008B2A4A">
      <w:pPr>
        <w:rPr>
          <w:rFonts w:ascii="Arial" w:eastAsia="Arial" w:hAnsi="Arial" w:cs="Arial"/>
          <w:sz w:val="22"/>
          <w:szCs w:val="22"/>
        </w:rPr>
      </w:pPr>
      <w:r>
        <w:rPr>
          <w:rFonts w:ascii="Arial" w:eastAsia="Arial" w:hAnsi="Arial" w:cs="Arial"/>
          <w:sz w:val="22"/>
          <w:szCs w:val="22"/>
        </w:rPr>
        <w:t xml:space="preserve">“While Ford and Volkswagen remain independent and fiercely competitive in the marketplace, teaming up and working with Argo AI on this </w:t>
      </w:r>
      <w:r w:rsidR="00450521">
        <w:rPr>
          <w:rFonts w:ascii="Arial" w:eastAsia="Arial" w:hAnsi="Arial" w:cs="Arial"/>
          <w:sz w:val="22"/>
          <w:szCs w:val="22"/>
        </w:rPr>
        <w:t>important</w:t>
      </w:r>
      <w:r>
        <w:rPr>
          <w:rFonts w:ascii="Arial" w:eastAsia="Arial" w:hAnsi="Arial" w:cs="Arial"/>
          <w:sz w:val="22"/>
          <w:szCs w:val="22"/>
        </w:rPr>
        <w:t xml:space="preserve"> technology allows us to deliver </w:t>
      </w:r>
      <w:r w:rsidR="00054086">
        <w:rPr>
          <w:rFonts w:ascii="Arial" w:eastAsia="Arial" w:hAnsi="Arial" w:cs="Arial"/>
          <w:sz w:val="22"/>
          <w:szCs w:val="22"/>
        </w:rPr>
        <w:t xml:space="preserve">unmatched </w:t>
      </w:r>
      <w:r>
        <w:rPr>
          <w:rFonts w:ascii="Arial" w:eastAsia="Arial" w:hAnsi="Arial" w:cs="Arial"/>
          <w:sz w:val="22"/>
          <w:szCs w:val="22"/>
        </w:rPr>
        <w:t>capability, scale and geographic reach,” Hackett said</w:t>
      </w:r>
      <w:r w:rsidRPr="009B4611">
        <w:rPr>
          <w:rFonts w:ascii="Arial" w:eastAsia="Arial" w:hAnsi="Arial" w:cs="Arial"/>
          <w:sz w:val="22"/>
          <w:szCs w:val="22"/>
        </w:rPr>
        <w:t>. “</w:t>
      </w:r>
      <w:r w:rsidR="00CA6EE7" w:rsidRPr="009B4611">
        <w:rPr>
          <w:rFonts w:ascii="Arial" w:eastAsia="Arial" w:hAnsi="Arial" w:cs="Arial"/>
          <w:sz w:val="22"/>
          <w:szCs w:val="22"/>
        </w:rPr>
        <w:t xml:space="preserve">Unlocking the </w:t>
      </w:r>
      <w:r w:rsidR="009B4611" w:rsidRPr="00A12B87">
        <w:rPr>
          <w:rFonts w:ascii="Arial" w:eastAsia="Arial" w:hAnsi="Arial" w:cs="Arial"/>
          <w:sz w:val="22"/>
          <w:szCs w:val="22"/>
        </w:rPr>
        <w:t xml:space="preserve">synergies across a range of areas allows us to showcase the power of </w:t>
      </w:r>
      <w:r w:rsidR="00F22042" w:rsidRPr="00021791">
        <w:rPr>
          <w:rFonts w:ascii="Arial" w:eastAsia="Arial" w:hAnsi="Arial" w:cs="Arial"/>
          <w:sz w:val="22"/>
          <w:szCs w:val="22"/>
        </w:rPr>
        <w:t>our</w:t>
      </w:r>
      <w:r w:rsidRPr="00021791">
        <w:rPr>
          <w:rFonts w:ascii="Arial" w:eastAsia="Arial" w:hAnsi="Arial" w:cs="Arial"/>
          <w:sz w:val="22"/>
          <w:szCs w:val="22"/>
        </w:rPr>
        <w:t xml:space="preserve"> global alliance in this era of smart vehicles for a smart world.”</w:t>
      </w:r>
    </w:p>
    <w:p w14:paraId="783C4B2F" w14:textId="77777777" w:rsidR="00633BDA" w:rsidRDefault="00633BDA">
      <w:pPr>
        <w:rPr>
          <w:rFonts w:ascii="Arial" w:eastAsia="Arial" w:hAnsi="Arial" w:cs="Arial"/>
          <w:sz w:val="22"/>
          <w:szCs w:val="22"/>
        </w:rPr>
      </w:pPr>
    </w:p>
    <w:p w14:paraId="62CFEC14" w14:textId="77777777" w:rsidR="00633BDA" w:rsidRDefault="00762E94">
      <w:pPr>
        <w:rPr>
          <w:rFonts w:ascii="Arial" w:eastAsia="Arial" w:hAnsi="Arial" w:cs="Arial"/>
          <w:sz w:val="22"/>
          <w:szCs w:val="22"/>
        </w:rPr>
      </w:pPr>
      <w:r>
        <w:rPr>
          <w:rFonts w:ascii="Arial" w:eastAsia="Arial" w:hAnsi="Arial" w:cs="Arial"/>
          <w:sz w:val="22"/>
          <w:szCs w:val="22"/>
        </w:rPr>
        <w:t>C</w:t>
      </w:r>
      <w:r w:rsidR="008B2A4A">
        <w:rPr>
          <w:rFonts w:ascii="Arial" w:eastAsia="Arial" w:hAnsi="Arial" w:cs="Arial"/>
          <w:sz w:val="22"/>
          <w:szCs w:val="22"/>
        </w:rPr>
        <w:t xml:space="preserve">ompany leaders </w:t>
      </w:r>
      <w:r>
        <w:rPr>
          <w:rFonts w:ascii="Arial" w:eastAsia="Arial" w:hAnsi="Arial" w:cs="Arial"/>
          <w:sz w:val="22"/>
          <w:szCs w:val="22"/>
        </w:rPr>
        <w:t xml:space="preserve">also </w:t>
      </w:r>
      <w:r w:rsidR="008B2A4A">
        <w:rPr>
          <w:rFonts w:ascii="Arial" w:eastAsia="Arial" w:hAnsi="Arial" w:cs="Arial"/>
          <w:sz w:val="22"/>
          <w:szCs w:val="22"/>
        </w:rPr>
        <w:t xml:space="preserve">announced Ford will become the first additional automaker to use Volkswagen’s dedicated electric vehicle architecture and Modular Electric Toolkit – or MEB – to deliver a high-volume zero-emission vehicle in Europe starting in 2023. </w:t>
      </w:r>
    </w:p>
    <w:p w14:paraId="282616A3" w14:textId="77777777" w:rsidR="00633BDA" w:rsidRDefault="00633BDA">
      <w:pPr>
        <w:rPr>
          <w:rFonts w:ascii="Arial" w:eastAsia="Arial" w:hAnsi="Arial" w:cs="Arial"/>
          <w:sz w:val="22"/>
          <w:szCs w:val="22"/>
        </w:rPr>
      </w:pPr>
    </w:p>
    <w:p w14:paraId="5083F61C" w14:textId="776BA8E5" w:rsidR="006F16B7" w:rsidRDefault="008B2A4A" w:rsidP="005F6207">
      <w:pPr>
        <w:rPr>
          <w:rFonts w:ascii="Arial" w:eastAsia="Arial" w:hAnsi="Arial" w:cs="Arial"/>
          <w:sz w:val="22"/>
          <w:szCs w:val="22"/>
        </w:rPr>
      </w:pPr>
      <w:r>
        <w:rPr>
          <w:rFonts w:ascii="Arial" w:eastAsia="Arial" w:hAnsi="Arial" w:cs="Arial"/>
          <w:sz w:val="22"/>
          <w:szCs w:val="22"/>
        </w:rPr>
        <w:t>Ford expects to deliver more than 600,000 European vehicles using the MEB architecture over six years, with a second all-new Ford model for European customers under discussion.</w:t>
      </w:r>
      <w:r w:rsidR="000E3E32">
        <w:rPr>
          <w:rFonts w:ascii="Arial" w:eastAsia="Arial" w:hAnsi="Arial" w:cs="Arial"/>
          <w:sz w:val="22"/>
          <w:szCs w:val="22"/>
        </w:rPr>
        <w:t xml:space="preserve"> This supports Ford’s European strategy, which involves continuing </w:t>
      </w:r>
      <w:r w:rsidR="006B0BCF">
        <w:rPr>
          <w:rFonts w:ascii="Arial" w:eastAsia="Arial" w:hAnsi="Arial" w:cs="Arial"/>
          <w:sz w:val="22"/>
          <w:szCs w:val="22"/>
        </w:rPr>
        <w:t xml:space="preserve">to </w:t>
      </w:r>
      <w:r w:rsidR="000E3E32">
        <w:rPr>
          <w:rFonts w:ascii="Arial" w:eastAsia="Arial" w:hAnsi="Arial" w:cs="Arial"/>
          <w:sz w:val="22"/>
          <w:szCs w:val="22"/>
        </w:rPr>
        <w:t>play on its strengths – including commercial vehicles, compelling crossovers and imported iconic vehicles such as Mustang and Explorer.</w:t>
      </w:r>
      <w:r w:rsidR="000E3E32">
        <w:rPr>
          <w:rFonts w:ascii="Arial" w:eastAsia="Arial" w:hAnsi="Arial" w:cs="Arial"/>
          <w:sz w:val="22"/>
          <w:szCs w:val="22"/>
        </w:rPr>
        <w:br/>
      </w:r>
      <w:r w:rsidR="000E3E32">
        <w:rPr>
          <w:rFonts w:ascii="Arial" w:eastAsia="Arial" w:hAnsi="Arial" w:cs="Arial"/>
          <w:sz w:val="22"/>
          <w:szCs w:val="22"/>
        </w:rPr>
        <w:br/>
      </w:r>
      <w:r>
        <w:rPr>
          <w:rFonts w:ascii="Arial" w:eastAsia="Arial" w:hAnsi="Arial" w:cs="Arial"/>
          <w:sz w:val="22"/>
          <w:szCs w:val="22"/>
        </w:rPr>
        <w:t>Volkswagen</w:t>
      </w:r>
      <w:r w:rsidR="00F22042">
        <w:rPr>
          <w:rFonts w:ascii="Arial" w:eastAsia="Arial" w:hAnsi="Arial" w:cs="Arial"/>
          <w:sz w:val="22"/>
          <w:szCs w:val="22"/>
        </w:rPr>
        <w:t xml:space="preserve"> started developing it</w:t>
      </w:r>
      <w:r>
        <w:rPr>
          <w:rFonts w:ascii="Arial" w:eastAsia="Arial" w:hAnsi="Arial" w:cs="Arial"/>
          <w:sz w:val="22"/>
          <w:szCs w:val="22"/>
        </w:rPr>
        <w:t xml:space="preserve">s MEB architecture </w:t>
      </w:r>
      <w:r w:rsidR="00F22042">
        <w:rPr>
          <w:rFonts w:ascii="Arial" w:eastAsia="Arial" w:hAnsi="Arial" w:cs="Arial"/>
          <w:sz w:val="22"/>
          <w:szCs w:val="22"/>
        </w:rPr>
        <w:t xml:space="preserve">in 2016, investing </w:t>
      </w:r>
      <w:r>
        <w:rPr>
          <w:rFonts w:ascii="Arial" w:eastAsia="Arial" w:hAnsi="Arial" w:cs="Arial"/>
          <w:sz w:val="22"/>
          <w:szCs w:val="22"/>
        </w:rPr>
        <w:t>approximately $7 billion</w:t>
      </w:r>
      <w:r w:rsidR="000E3E32">
        <w:rPr>
          <w:rFonts w:ascii="Arial" w:eastAsia="Arial" w:hAnsi="Arial" w:cs="Arial"/>
          <w:sz w:val="22"/>
          <w:szCs w:val="22"/>
        </w:rPr>
        <w:t xml:space="preserve"> in </w:t>
      </w:r>
      <w:r w:rsidR="005F6207" w:rsidRPr="005F6207">
        <w:rPr>
          <w:rFonts w:ascii="Arial" w:eastAsia="Arial" w:hAnsi="Arial" w:cs="Arial"/>
          <w:sz w:val="22"/>
          <w:szCs w:val="22"/>
        </w:rPr>
        <w:t>th</w:t>
      </w:r>
      <w:r w:rsidR="005F6207" w:rsidRPr="001F459B">
        <w:rPr>
          <w:rFonts w:ascii="Arial" w:eastAsia="Arial" w:hAnsi="Arial" w:cs="Arial"/>
          <w:sz w:val="22"/>
          <w:szCs w:val="22"/>
        </w:rPr>
        <w:t>is</w:t>
      </w:r>
      <w:r w:rsidR="000E3E32" w:rsidRPr="001F459B">
        <w:rPr>
          <w:rFonts w:ascii="Arial" w:eastAsia="Arial" w:hAnsi="Arial" w:cs="Arial"/>
          <w:sz w:val="22"/>
          <w:szCs w:val="22"/>
        </w:rPr>
        <w:t xml:space="preserve"> </w:t>
      </w:r>
      <w:r w:rsidR="0014729F" w:rsidRPr="001F459B">
        <w:rPr>
          <w:rFonts w:ascii="Arial" w:eastAsia="Arial" w:hAnsi="Arial" w:cs="Arial"/>
          <w:sz w:val="22"/>
          <w:szCs w:val="22"/>
        </w:rPr>
        <w:t>platform</w:t>
      </w:r>
      <w:r w:rsidRPr="001F459B">
        <w:rPr>
          <w:rFonts w:ascii="Arial" w:eastAsia="Arial" w:hAnsi="Arial" w:cs="Arial"/>
          <w:sz w:val="22"/>
          <w:szCs w:val="22"/>
        </w:rPr>
        <w:t xml:space="preserve">. </w:t>
      </w:r>
      <w:r w:rsidR="004B5652" w:rsidRPr="001F459B">
        <w:rPr>
          <w:rFonts w:ascii="Arial" w:eastAsia="Arial" w:hAnsi="Arial" w:cs="Arial"/>
          <w:sz w:val="22"/>
          <w:szCs w:val="22"/>
        </w:rPr>
        <w:t xml:space="preserve">The car-maker </w:t>
      </w:r>
      <w:r w:rsidRPr="001F459B">
        <w:rPr>
          <w:rFonts w:ascii="Arial" w:eastAsia="Arial" w:hAnsi="Arial" w:cs="Arial"/>
          <w:sz w:val="22"/>
          <w:szCs w:val="22"/>
        </w:rPr>
        <w:t>is planning to use this platform to build approximately 15 million cars for the</w:t>
      </w:r>
      <w:r>
        <w:rPr>
          <w:rFonts w:ascii="Arial" w:eastAsia="Arial" w:hAnsi="Arial" w:cs="Arial"/>
          <w:sz w:val="22"/>
          <w:szCs w:val="22"/>
        </w:rPr>
        <w:t xml:space="preserve"> Volkswagen Group alone in the next decade. </w:t>
      </w:r>
    </w:p>
    <w:p w14:paraId="71855DB8" w14:textId="77777777" w:rsidR="006E3377" w:rsidRDefault="006E3377">
      <w:pPr>
        <w:rPr>
          <w:rFonts w:ascii="Arial" w:eastAsia="Arial" w:hAnsi="Arial" w:cs="Arial"/>
          <w:sz w:val="22"/>
          <w:szCs w:val="22"/>
        </w:rPr>
      </w:pPr>
    </w:p>
    <w:p w14:paraId="24695BF9" w14:textId="07049693" w:rsidR="006E3377" w:rsidRDefault="006E3377" w:rsidP="006E3377">
      <w:pPr>
        <w:rPr>
          <w:rFonts w:ascii="Calibri" w:hAnsi="Calibri" w:cs="Calibri"/>
          <w:sz w:val="22"/>
          <w:szCs w:val="22"/>
        </w:rPr>
      </w:pPr>
      <w:r>
        <w:rPr>
          <w:rFonts w:ascii="Arial" w:hAnsi="Arial" w:cs="Arial"/>
          <w:sz w:val="22"/>
          <w:szCs w:val="22"/>
        </w:rPr>
        <w:t xml:space="preserve">For Ford, using Volkswagen’s MEB architecture is part of its </w:t>
      </w:r>
      <w:r w:rsidR="00A27C4C">
        <w:rPr>
          <w:rFonts w:ascii="Arial" w:hAnsi="Arial" w:cs="Arial"/>
          <w:sz w:val="22"/>
          <w:szCs w:val="22"/>
        </w:rPr>
        <w:t xml:space="preserve">more than </w:t>
      </w:r>
      <w:r>
        <w:rPr>
          <w:rFonts w:ascii="Arial" w:hAnsi="Arial" w:cs="Arial"/>
          <w:sz w:val="22"/>
          <w:szCs w:val="22"/>
        </w:rPr>
        <w:t xml:space="preserve">$11.5 billion investment in electric vehicles worldwide – and </w:t>
      </w:r>
      <w:r w:rsidR="00120E43">
        <w:rPr>
          <w:rFonts w:ascii="Arial" w:hAnsi="Arial" w:cs="Arial"/>
          <w:sz w:val="22"/>
          <w:szCs w:val="22"/>
        </w:rPr>
        <w:t>supports Ford’</w:t>
      </w:r>
      <w:r>
        <w:rPr>
          <w:rFonts w:ascii="Arial" w:hAnsi="Arial" w:cs="Arial"/>
          <w:sz w:val="22"/>
          <w:szCs w:val="22"/>
        </w:rPr>
        <w:t xml:space="preserve">s commitment to offer its European customers a broad range of electric vehicles </w:t>
      </w:r>
      <w:r w:rsidR="00120E43">
        <w:rPr>
          <w:rFonts w:ascii="Arial" w:hAnsi="Arial" w:cs="Arial"/>
          <w:sz w:val="22"/>
          <w:szCs w:val="22"/>
        </w:rPr>
        <w:t xml:space="preserve">while meeting its </w:t>
      </w:r>
      <w:r>
        <w:rPr>
          <w:rFonts w:ascii="Arial" w:hAnsi="Arial" w:cs="Arial"/>
          <w:sz w:val="22"/>
          <w:szCs w:val="22"/>
        </w:rPr>
        <w:t>sustainability commitments.</w:t>
      </w:r>
    </w:p>
    <w:p w14:paraId="78FA2A4F" w14:textId="77777777" w:rsidR="006E3377" w:rsidRDefault="006E3377">
      <w:pPr>
        <w:rPr>
          <w:rFonts w:ascii="Arial" w:eastAsia="Arial" w:hAnsi="Arial" w:cs="Arial"/>
          <w:sz w:val="22"/>
          <w:szCs w:val="22"/>
        </w:rPr>
      </w:pPr>
    </w:p>
    <w:p w14:paraId="30360426" w14:textId="5682B104" w:rsidR="006F16B7" w:rsidRDefault="008B2A4A" w:rsidP="00E60DEB">
      <w:pPr>
        <w:rPr>
          <w:rFonts w:ascii="Arial" w:eastAsia="Arial" w:hAnsi="Arial" w:cs="Arial"/>
          <w:sz w:val="22"/>
          <w:szCs w:val="22"/>
        </w:rPr>
      </w:pPr>
      <w:r>
        <w:rPr>
          <w:rFonts w:ascii="Arial" w:eastAsia="Arial" w:hAnsi="Arial" w:cs="Arial"/>
          <w:sz w:val="22"/>
          <w:szCs w:val="22"/>
        </w:rPr>
        <w:t xml:space="preserve">“Looking ahead, even more customers </w:t>
      </w:r>
      <w:r w:rsidR="00E60DEB">
        <w:rPr>
          <w:rFonts w:ascii="Arial" w:eastAsia="Arial" w:hAnsi="Arial" w:cs="Arial"/>
          <w:sz w:val="22"/>
          <w:szCs w:val="22"/>
        </w:rPr>
        <w:t xml:space="preserve">and the environment </w:t>
      </w:r>
      <w:r>
        <w:rPr>
          <w:rFonts w:ascii="Arial" w:eastAsia="Arial" w:hAnsi="Arial" w:cs="Arial"/>
          <w:sz w:val="22"/>
          <w:szCs w:val="22"/>
        </w:rPr>
        <w:t>will benefit from Volkswagen’s industry-leading EV architecture</w:t>
      </w:r>
      <w:r w:rsidR="00E60DEB">
        <w:rPr>
          <w:rFonts w:ascii="Arial" w:eastAsia="Arial" w:hAnsi="Arial" w:cs="Arial"/>
          <w:sz w:val="22"/>
          <w:szCs w:val="22"/>
        </w:rPr>
        <w:t>.</w:t>
      </w:r>
      <w:r>
        <w:rPr>
          <w:rFonts w:ascii="Arial" w:eastAsia="Arial" w:hAnsi="Arial" w:cs="Arial"/>
          <w:sz w:val="22"/>
          <w:szCs w:val="22"/>
        </w:rPr>
        <w:t xml:space="preserve"> </w:t>
      </w:r>
      <w:r w:rsidR="00E60DEB">
        <w:rPr>
          <w:rFonts w:ascii="Arial" w:eastAsia="Arial" w:hAnsi="Arial" w:cs="Arial"/>
          <w:sz w:val="22"/>
          <w:szCs w:val="22"/>
        </w:rPr>
        <w:t>O</w:t>
      </w:r>
      <w:r>
        <w:rPr>
          <w:rFonts w:ascii="Arial" w:eastAsia="Arial" w:hAnsi="Arial" w:cs="Arial"/>
          <w:sz w:val="22"/>
          <w:szCs w:val="22"/>
        </w:rPr>
        <w:t>ur global alliance is beginning to demonstrate even greater promise</w:t>
      </w:r>
      <w:r w:rsidR="00AA70AA">
        <w:rPr>
          <w:rFonts w:ascii="Arial" w:eastAsia="Arial" w:hAnsi="Arial" w:cs="Arial"/>
          <w:sz w:val="22"/>
          <w:szCs w:val="22"/>
        </w:rPr>
        <w:t>,</w:t>
      </w:r>
      <w:r w:rsidR="00E60DEB">
        <w:rPr>
          <w:rFonts w:ascii="Arial" w:eastAsia="Arial" w:hAnsi="Arial" w:cs="Arial"/>
          <w:sz w:val="22"/>
          <w:szCs w:val="22"/>
        </w:rPr>
        <w:t xml:space="preserve"> and w</w:t>
      </w:r>
      <w:r w:rsidR="00E60DEB" w:rsidRPr="00E60DEB">
        <w:rPr>
          <w:rFonts w:ascii="Arial" w:eastAsia="Arial" w:hAnsi="Arial" w:cs="Arial"/>
          <w:sz w:val="22"/>
          <w:szCs w:val="22"/>
        </w:rPr>
        <w:t>e are continuing to look at other areas on which we might collaborate</w:t>
      </w:r>
      <w:r>
        <w:rPr>
          <w:rFonts w:ascii="Arial" w:eastAsia="Arial" w:hAnsi="Arial" w:cs="Arial"/>
          <w:sz w:val="22"/>
          <w:szCs w:val="22"/>
        </w:rPr>
        <w:t xml:space="preserve">,” Diess said. “Scaling our MEB drives down development costs for zero-emissions vehicles, allowing for a broader </w:t>
      </w:r>
      <w:r w:rsidR="00E60DEB">
        <w:rPr>
          <w:rFonts w:ascii="Arial" w:eastAsia="Arial" w:hAnsi="Arial" w:cs="Arial"/>
          <w:sz w:val="22"/>
          <w:szCs w:val="22"/>
        </w:rPr>
        <w:t xml:space="preserve">and faster </w:t>
      </w:r>
      <w:r>
        <w:rPr>
          <w:rFonts w:ascii="Arial" w:eastAsia="Arial" w:hAnsi="Arial" w:cs="Arial"/>
          <w:sz w:val="22"/>
          <w:szCs w:val="22"/>
        </w:rPr>
        <w:t>global adoption of electric vehicles. This improves the positions of both companies through greater capital efficiency, further growth and improved competitiveness.”</w:t>
      </w:r>
    </w:p>
    <w:p w14:paraId="2349EB91" w14:textId="77777777" w:rsidR="006F16B7" w:rsidRDefault="006F16B7">
      <w:pPr>
        <w:rPr>
          <w:rFonts w:ascii="Arial" w:eastAsia="Arial" w:hAnsi="Arial" w:cs="Arial"/>
          <w:sz w:val="22"/>
          <w:szCs w:val="22"/>
        </w:rPr>
      </w:pPr>
    </w:p>
    <w:p w14:paraId="65DED145" w14:textId="15D47655" w:rsidR="006F16B7" w:rsidRDefault="008B2A4A">
      <w:pPr>
        <w:rPr>
          <w:rFonts w:ascii="Arial" w:eastAsia="Arial" w:hAnsi="Arial" w:cs="Arial"/>
          <w:sz w:val="22"/>
          <w:szCs w:val="22"/>
        </w:rPr>
      </w:pPr>
      <w:r>
        <w:rPr>
          <w:rFonts w:ascii="Arial" w:eastAsia="Arial" w:hAnsi="Arial" w:cs="Arial"/>
          <w:sz w:val="22"/>
          <w:szCs w:val="22"/>
        </w:rPr>
        <w:t>The alliance, which covers collaborations outside of Volkswagen and Ford’s joint investments in Argo AI, does not entail cross-ownership between the two companies</w:t>
      </w:r>
      <w:r w:rsidR="00450521">
        <w:rPr>
          <w:rFonts w:ascii="Arial" w:eastAsia="Arial" w:hAnsi="Arial" w:cs="Arial"/>
          <w:sz w:val="22"/>
          <w:szCs w:val="22"/>
        </w:rPr>
        <w:t xml:space="preserve"> and is independent from the investment into Argo AI</w:t>
      </w:r>
      <w:r>
        <w:rPr>
          <w:rFonts w:ascii="Arial" w:eastAsia="Arial" w:hAnsi="Arial" w:cs="Arial"/>
          <w:sz w:val="22"/>
          <w:szCs w:val="22"/>
        </w:rPr>
        <w:t xml:space="preserve">. </w:t>
      </w:r>
      <w:r w:rsidR="00450521">
        <w:rPr>
          <w:rFonts w:ascii="Arial" w:eastAsia="Arial" w:hAnsi="Arial" w:cs="Arial"/>
          <w:sz w:val="22"/>
          <w:szCs w:val="22"/>
        </w:rPr>
        <w:t>The alliance</w:t>
      </w:r>
      <w:r>
        <w:rPr>
          <w:rFonts w:ascii="Arial" w:eastAsia="Arial" w:hAnsi="Arial" w:cs="Arial"/>
          <w:sz w:val="22"/>
          <w:szCs w:val="22"/>
        </w:rPr>
        <w:t xml:space="preserve"> is governed by a joint committee</w:t>
      </w:r>
      <w:r w:rsidR="00450521">
        <w:rPr>
          <w:rFonts w:ascii="Arial" w:eastAsia="Arial" w:hAnsi="Arial" w:cs="Arial"/>
          <w:sz w:val="22"/>
          <w:szCs w:val="22"/>
        </w:rPr>
        <w:t xml:space="preserve">, which </w:t>
      </w:r>
      <w:r w:rsidR="00E16FCE">
        <w:rPr>
          <w:rFonts w:ascii="Arial" w:eastAsia="Arial" w:hAnsi="Arial" w:cs="Arial"/>
          <w:sz w:val="22"/>
          <w:szCs w:val="22"/>
        </w:rPr>
        <w:t>is led</w:t>
      </w:r>
      <w:r>
        <w:rPr>
          <w:rFonts w:ascii="Arial" w:eastAsia="Arial" w:hAnsi="Arial" w:cs="Arial"/>
          <w:sz w:val="22"/>
          <w:szCs w:val="22"/>
        </w:rPr>
        <w:t xml:space="preserve"> by Hackett and Diess and includes senior executives from both companies. </w:t>
      </w:r>
    </w:p>
    <w:p w14:paraId="665A7FEB" w14:textId="511DA6F1" w:rsidR="00450521" w:rsidRDefault="00450521">
      <w:pPr>
        <w:rPr>
          <w:rFonts w:ascii="Arial" w:eastAsia="Arial" w:hAnsi="Arial" w:cs="Arial"/>
          <w:sz w:val="22"/>
          <w:szCs w:val="22"/>
        </w:rPr>
      </w:pPr>
    </w:p>
    <w:p w14:paraId="53732B7B" w14:textId="77777777" w:rsidR="00021791" w:rsidRDefault="008B2A4A">
      <w:pPr>
        <w:rPr>
          <w:rFonts w:ascii="Arial" w:eastAsia="Arial" w:hAnsi="Arial" w:cs="Arial"/>
          <w:sz w:val="22"/>
          <w:szCs w:val="22"/>
        </w:rPr>
      </w:pPr>
      <w:r>
        <w:rPr>
          <w:rFonts w:ascii="Arial" w:eastAsia="Arial" w:hAnsi="Arial" w:cs="Arial"/>
          <w:sz w:val="22"/>
          <w:szCs w:val="22"/>
        </w:rPr>
        <w:t>The companies also are on track to deliver medium pickup trucks for global customers, aiming to start in 2022, follow</w:t>
      </w:r>
      <w:r w:rsidR="00E63F2F">
        <w:rPr>
          <w:rFonts w:ascii="Arial" w:eastAsia="Arial" w:hAnsi="Arial" w:cs="Arial"/>
          <w:sz w:val="22"/>
          <w:szCs w:val="22"/>
        </w:rPr>
        <w:t xml:space="preserve">ed by </w:t>
      </w:r>
      <w:r>
        <w:rPr>
          <w:rFonts w:ascii="Arial" w:eastAsia="Arial" w:hAnsi="Arial" w:cs="Arial"/>
          <w:sz w:val="22"/>
          <w:szCs w:val="22"/>
        </w:rPr>
        <w:t>commercial vans</w:t>
      </w:r>
      <w:r w:rsidR="00E63F2F">
        <w:rPr>
          <w:rFonts w:ascii="Arial" w:eastAsia="Arial" w:hAnsi="Arial" w:cs="Arial"/>
          <w:sz w:val="22"/>
          <w:szCs w:val="22"/>
        </w:rPr>
        <w:t>.</w:t>
      </w:r>
    </w:p>
    <w:p w14:paraId="0457F085" w14:textId="77777777" w:rsidR="006F16B7" w:rsidRDefault="006F16B7">
      <w:pPr>
        <w:rPr>
          <w:rFonts w:ascii="Arial" w:eastAsia="Arial" w:hAnsi="Arial" w:cs="Arial"/>
          <w:sz w:val="22"/>
          <w:szCs w:val="22"/>
        </w:rPr>
      </w:pPr>
    </w:p>
    <w:p w14:paraId="3CB2C1D5" w14:textId="77777777" w:rsidR="006F16B7" w:rsidRDefault="008B2A4A">
      <w:pPr>
        <w:rPr>
          <w:rFonts w:ascii="Arial" w:eastAsia="Arial" w:hAnsi="Arial" w:cs="Arial"/>
          <w:b/>
          <w:sz w:val="22"/>
          <w:szCs w:val="22"/>
        </w:rPr>
      </w:pPr>
      <w:r>
        <w:rPr>
          <w:rFonts w:ascii="Arial" w:eastAsia="Arial" w:hAnsi="Arial" w:cs="Arial"/>
          <w:b/>
          <w:sz w:val="22"/>
          <w:szCs w:val="22"/>
        </w:rPr>
        <w:t xml:space="preserve">Equal Shareholders in Argo AI </w:t>
      </w:r>
    </w:p>
    <w:p w14:paraId="30C2E5F7" w14:textId="77777777" w:rsidR="006F16B7" w:rsidRDefault="006F16B7">
      <w:pPr>
        <w:rPr>
          <w:rFonts w:ascii="Arial" w:eastAsia="Arial" w:hAnsi="Arial" w:cs="Arial"/>
          <w:b/>
          <w:sz w:val="22"/>
          <w:szCs w:val="22"/>
        </w:rPr>
      </w:pPr>
    </w:p>
    <w:p w14:paraId="3FFD098D" w14:textId="216BA597" w:rsidR="006F16B7" w:rsidRDefault="008B2A4A" w:rsidP="00E60DEB">
      <w:pPr>
        <w:rPr>
          <w:rFonts w:ascii="Arial" w:eastAsia="Arial" w:hAnsi="Arial" w:cs="Arial"/>
          <w:sz w:val="22"/>
          <w:szCs w:val="22"/>
        </w:rPr>
      </w:pPr>
      <w:r>
        <w:rPr>
          <w:rFonts w:ascii="Arial" w:eastAsia="Arial" w:hAnsi="Arial" w:cs="Arial"/>
          <w:sz w:val="22"/>
          <w:szCs w:val="22"/>
        </w:rPr>
        <w:t xml:space="preserve">Volkswagen will invest $2.6 billion in Argo AI by </w:t>
      </w:r>
      <w:r w:rsidR="00F30235">
        <w:rPr>
          <w:rFonts w:ascii="Arial" w:eastAsia="Arial" w:hAnsi="Arial" w:cs="Arial"/>
          <w:sz w:val="22"/>
          <w:szCs w:val="22"/>
        </w:rPr>
        <w:t xml:space="preserve">committing </w:t>
      </w:r>
      <w:r>
        <w:rPr>
          <w:rFonts w:ascii="Arial" w:eastAsia="Arial" w:hAnsi="Arial" w:cs="Arial"/>
          <w:sz w:val="22"/>
          <w:szCs w:val="22"/>
        </w:rPr>
        <w:t xml:space="preserve">$1 billion </w:t>
      </w:r>
      <w:r w:rsidR="004A2823">
        <w:rPr>
          <w:rFonts w:ascii="Arial" w:eastAsia="Arial" w:hAnsi="Arial" w:cs="Arial"/>
          <w:sz w:val="22"/>
          <w:szCs w:val="22"/>
        </w:rPr>
        <w:t>in funding</w:t>
      </w:r>
      <w:r>
        <w:rPr>
          <w:rFonts w:ascii="Arial" w:eastAsia="Arial" w:hAnsi="Arial" w:cs="Arial"/>
          <w:sz w:val="22"/>
          <w:szCs w:val="22"/>
        </w:rPr>
        <w:t xml:space="preserve"> and </w:t>
      </w:r>
      <w:r w:rsidR="00F30235">
        <w:rPr>
          <w:rFonts w:ascii="Arial" w:eastAsia="Arial" w:hAnsi="Arial" w:cs="Arial"/>
          <w:sz w:val="22"/>
          <w:szCs w:val="22"/>
        </w:rPr>
        <w:t xml:space="preserve">contributing </w:t>
      </w:r>
      <w:r>
        <w:rPr>
          <w:rFonts w:ascii="Arial" w:eastAsia="Arial" w:hAnsi="Arial" w:cs="Arial"/>
          <w:sz w:val="22"/>
          <w:szCs w:val="22"/>
        </w:rPr>
        <w:t xml:space="preserve">its $1.6 billion Autonomous Intelligent Driving (AID) </w:t>
      </w:r>
      <w:r w:rsidR="00E60DEB">
        <w:rPr>
          <w:rFonts w:ascii="Arial" w:eastAsia="Arial" w:hAnsi="Arial" w:cs="Arial"/>
          <w:sz w:val="22"/>
          <w:szCs w:val="22"/>
        </w:rPr>
        <w:t>company</w:t>
      </w:r>
      <w:r>
        <w:rPr>
          <w:rFonts w:ascii="Arial" w:eastAsia="Arial" w:hAnsi="Arial" w:cs="Arial"/>
          <w:sz w:val="22"/>
          <w:szCs w:val="22"/>
        </w:rPr>
        <w:t xml:space="preserve">, which includes more than 200 employees – most of whom have been developing self-driving technology for the Volkswagen Group.  </w:t>
      </w:r>
    </w:p>
    <w:p w14:paraId="69643160" w14:textId="77777777" w:rsidR="006F16B7" w:rsidRDefault="006F16B7">
      <w:pPr>
        <w:rPr>
          <w:rFonts w:ascii="Arial" w:eastAsia="Arial" w:hAnsi="Arial" w:cs="Arial"/>
          <w:sz w:val="22"/>
          <w:szCs w:val="22"/>
        </w:rPr>
      </w:pPr>
    </w:p>
    <w:p w14:paraId="43C710D5" w14:textId="3C779D38" w:rsidR="00B32FFF" w:rsidRDefault="005B7CEC">
      <w:pPr>
        <w:rPr>
          <w:rFonts w:ascii="Arial" w:eastAsia="Arial" w:hAnsi="Arial" w:cs="Arial"/>
          <w:sz w:val="22"/>
          <w:szCs w:val="22"/>
        </w:rPr>
      </w:pPr>
      <w:r>
        <w:rPr>
          <w:rFonts w:ascii="Arial" w:eastAsia="Arial" w:hAnsi="Arial" w:cs="Arial"/>
          <w:sz w:val="22"/>
          <w:szCs w:val="22"/>
        </w:rPr>
        <w:t xml:space="preserve">As part of the transaction, </w:t>
      </w:r>
      <w:r w:rsidR="008B2A4A">
        <w:rPr>
          <w:rFonts w:ascii="Arial" w:eastAsia="Arial" w:hAnsi="Arial" w:cs="Arial"/>
          <w:sz w:val="22"/>
          <w:szCs w:val="22"/>
        </w:rPr>
        <w:t xml:space="preserve">Volkswagen also will purchase </w:t>
      </w:r>
      <w:r w:rsidR="00B32FFF">
        <w:rPr>
          <w:rFonts w:ascii="Arial" w:eastAsia="Arial" w:hAnsi="Arial" w:cs="Arial"/>
          <w:sz w:val="22"/>
          <w:szCs w:val="22"/>
        </w:rPr>
        <w:t xml:space="preserve">Argo AI shares from Ford for </w:t>
      </w:r>
      <w:r w:rsidR="008B2A4A">
        <w:rPr>
          <w:rFonts w:ascii="Arial" w:eastAsia="Arial" w:hAnsi="Arial" w:cs="Arial"/>
          <w:sz w:val="22"/>
          <w:szCs w:val="22"/>
        </w:rPr>
        <w:t>$500 million</w:t>
      </w:r>
      <w:r w:rsidR="00F30235">
        <w:rPr>
          <w:rFonts w:ascii="Arial" w:eastAsia="Arial" w:hAnsi="Arial" w:cs="Arial"/>
          <w:sz w:val="22"/>
          <w:szCs w:val="22"/>
        </w:rPr>
        <w:t xml:space="preserve"> over three years</w:t>
      </w:r>
      <w:r w:rsidR="008B2A4A">
        <w:rPr>
          <w:rFonts w:ascii="Arial" w:eastAsia="Arial" w:hAnsi="Arial" w:cs="Arial"/>
          <w:sz w:val="22"/>
          <w:szCs w:val="22"/>
        </w:rPr>
        <w:t xml:space="preserve">. Ford will invest the remaining $600 million of its previously announced $1 billion cash </w:t>
      </w:r>
      <w:r>
        <w:rPr>
          <w:rFonts w:ascii="Arial" w:eastAsia="Arial" w:hAnsi="Arial" w:cs="Arial"/>
          <w:sz w:val="22"/>
          <w:szCs w:val="22"/>
        </w:rPr>
        <w:t xml:space="preserve">commitment </w:t>
      </w:r>
      <w:r w:rsidR="008B2A4A">
        <w:rPr>
          <w:rFonts w:ascii="Arial" w:eastAsia="Arial" w:hAnsi="Arial" w:cs="Arial"/>
          <w:sz w:val="22"/>
          <w:szCs w:val="22"/>
        </w:rPr>
        <w:t xml:space="preserve">in Argo AI. </w:t>
      </w:r>
    </w:p>
    <w:p w14:paraId="46DD96DE" w14:textId="77777777" w:rsidR="00625FF2" w:rsidRDefault="008B2A4A">
      <w:pPr>
        <w:rPr>
          <w:rFonts w:ascii="Arial" w:eastAsia="Arial" w:hAnsi="Arial" w:cs="Arial"/>
          <w:sz w:val="22"/>
          <w:szCs w:val="22"/>
        </w:rPr>
      </w:pPr>
      <w:r>
        <w:rPr>
          <w:rFonts w:ascii="Arial" w:eastAsia="Arial" w:hAnsi="Arial" w:cs="Arial"/>
          <w:sz w:val="22"/>
          <w:szCs w:val="22"/>
        </w:rPr>
        <w:t xml:space="preserve"> </w:t>
      </w:r>
    </w:p>
    <w:p w14:paraId="3DF1942C" w14:textId="7D0CEF3B" w:rsidR="006F16B7" w:rsidRDefault="008B2A4A" w:rsidP="005C6DB2">
      <w:pPr>
        <w:rPr>
          <w:rFonts w:ascii="Arial" w:eastAsia="Arial" w:hAnsi="Arial" w:cs="Arial"/>
          <w:sz w:val="22"/>
          <w:szCs w:val="22"/>
        </w:rPr>
      </w:pPr>
      <w:r>
        <w:rPr>
          <w:rFonts w:ascii="Arial" w:eastAsia="Arial" w:hAnsi="Arial" w:cs="Arial"/>
          <w:sz w:val="22"/>
          <w:szCs w:val="22"/>
        </w:rPr>
        <w:lastRenderedPageBreak/>
        <w:t xml:space="preserve">The </w:t>
      </w:r>
      <w:r w:rsidR="00625FF2">
        <w:rPr>
          <w:rFonts w:ascii="Arial" w:eastAsia="Arial" w:hAnsi="Arial" w:cs="Arial"/>
          <w:sz w:val="22"/>
          <w:szCs w:val="22"/>
        </w:rPr>
        <w:t xml:space="preserve">full </w:t>
      </w:r>
      <w:r>
        <w:rPr>
          <w:rFonts w:ascii="Arial" w:eastAsia="Arial" w:hAnsi="Arial" w:cs="Arial"/>
          <w:sz w:val="22"/>
          <w:szCs w:val="22"/>
        </w:rPr>
        <w:t>transaction</w:t>
      </w:r>
      <w:r w:rsidR="00B32FFF">
        <w:rPr>
          <w:rFonts w:ascii="Arial" w:eastAsia="Arial" w:hAnsi="Arial" w:cs="Arial"/>
          <w:sz w:val="22"/>
          <w:szCs w:val="22"/>
        </w:rPr>
        <w:t xml:space="preserve"> represents a valuation for Argo AI that totals</w:t>
      </w:r>
      <w:r w:rsidR="00526E5D">
        <w:rPr>
          <w:rFonts w:ascii="Arial" w:eastAsia="Arial" w:hAnsi="Arial" w:cs="Arial"/>
          <w:sz w:val="22"/>
          <w:szCs w:val="22"/>
        </w:rPr>
        <w:t xml:space="preserve"> </w:t>
      </w:r>
      <w:r w:rsidR="00F95BB5">
        <w:rPr>
          <w:rFonts w:ascii="Arial" w:eastAsia="Arial" w:hAnsi="Arial" w:cs="Arial"/>
          <w:sz w:val="22"/>
          <w:szCs w:val="22"/>
        </w:rPr>
        <w:t xml:space="preserve">more than </w:t>
      </w:r>
      <w:r w:rsidR="00B32FFF">
        <w:rPr>
          <w:rFonts w:ascii="Arial" w:eastAsia="Arial" w:hAnsi="Arial" w:cs="Arial"/>
          <w:sz w:val="22"/>
          <w:szCs w:val="22"/>
        </w:rPr>
        <w:t>$7 billion</w:t>
      </w:r>
      <w:r w:rsidR="006935C7">
        <w:rPr>
          <w:rFonts w:ascii="Arial" w:eastAsia="Arial" w:hAnsi="Arial" w:cs="Arial"/>
          <w:sz w:val="22"/>
          <w:szCs w:val="22"/>
        </w:rPr>
        <w:t>.</w:t>
      </w:r>
      <w:r w:rsidR="005C6DB2">
        <w:rPr>
          <w:rFonts w:ascii="Arial" w:eastAsia="Arial" w:hAnsi="Arial" w:cs="Arial"/>
          <w:sz w:val="22"/>
          <w:szCs w:val="22"/>
        </w:rPr>
        <w:t xml:space="preserve"> </w:t>
      </w:r>
    </w:p>
    <w:p w14:paraId="77CE276F" w14:textId="77777777" w:rsidR="006F16B7" w:rsidRDefault="006F16B7">
      <w:pPr>
        <w:rPr>
          <w:rFonts w:ascii="Arial" w:eastAsia="Arial" w:hAnsi="Arial" w:cs="Arial"/>
          <w:sz w:val="22"/>
          <w:szCs w:val="22"/>
        </w:rPr>
      </w:pPr>
    </w:p>
    <w:p w14:paraId="3ACBCA28" w14:textId="402C730F" w:rsidR="006F16B7" w:rsidRDefault="008B2A4A">
      <w:pPr>
        <w:rPr>
          <w:rFonts w:ascii="Arial" w:eastAsia="Arial" w:hAnsi="Arial" w:cs="Arial"/>
          <w:sz w:val="22"/>
          <w:szCs w:val="22"/>
        </w:rPr>
      </w:pPr>
      <w:r>
        <w:rPr>
          <w:rFonts w:ascii="Arial" w:eastAsia="Arial" w:hAnsi="Arial" w:cs="Arial"/>
          <w:sz w:val="22"/>
          <w:szCs w:val="22"/>
        </w:rPr>
        <w:t>Both automakers see significant potential</w:t>
      </w:r>
      <w:r w:rsidR="004F47BF">
        <w:rPr>
          <w:rFonts w:ascii="Arial" w:eastAsia="Arial" w:hAnsi="Arial" w:cs="Arial"/>
          <w:sz w:val="22"/>
          <w:szCs w:val="22"/>
        </w:rPr>
        <w:t xml:space="preserve">, including </w:t>
      </w:r>
      <w:r>
        <w:rPr>
          <w:rFonts w:ascii="Arial" w:eastAsia="Arial" w:hAnsi="Arial" w:cs="Arial"/>
          <w:sz w:val="22"/>
          <w:szCs w:val="22"/>
        </w:rPr>
        <w:t xml:space="preserve">profitable growth by tapping new business areas tied to autonomous technology. </w:t>
      </w:r>
    </w:p>
    <w:p w14:paraId="37172BAF" w14:textId="77777777" w:rsidR="006F16B7" w:rsidRDefault="006F16B7">
      <w:pPr>
        <w:rPr>
          <w:rFonts w:ascii="Arial" w:eastAsia="Arial" w:hAnsi="Arial" w:cs="Arial"/>
          <w:sz w:val="22"/>
          <w:szCs w:val="22"/>
        </w:rPr>
      </w:pPr>
    </w:p>
    <w:p w14:paraId="0EF3B989" w14:textId="77777777" w:rsidR="006F16B7" w:rsidRDefault="008B2A4A">
      <w:pPr>
        <w:rPr>
          <w:rFonts w:ascii="Arial" w:eastAsia="Arial" w:hAnsi="Arial" w:cs="Arial"/>
          <w:sz w:val="22"/>
          <w:szCs w:val="22"/>
        </w:rPr>
      </w:pPr>
      <w:r>
        <w:rPr>
          <w:rFonts w:ascii="Arial" w:eastAsia="Arial" w:hAnsi="Arial" w:cs="Arial"/>
          <w:sz w:val="22"/>
          <w:szCs w:val="22"/>
        </w:rPr>
        <w:t>Argo AI plans to work closely with Ford and Volkswagen to provide the autonomous vehicle technology the automakers need to deliver fully integrated self-driving vehicles that can be manufactured at scale for safe, reliable and durable deployment in ride sharing and goods delivery</w:t>
      </w:r>
      <w:r w:rsidR="00934652">
        <w:rPr>
          <w:rFonts w:ascii="Arial" w:eastAsia="Arial" w:hAnsi="Arial" w:cs="Arial"/>
          <w:sz w:val="22"/>
          <w:szCs w:val="22"/>
        </w:rPr>
        <w:t xml:space="preserve"> services</w:t>
      </w:r>
      <w:r>
        <w:rPr>
          <w:rFonts w:ascii="Arial" w:eastAsia="Arial" w:hAnsi="Arial" w:cs="Arial"/>
          <w:sz w:val="22"/>
          <w:szCs w:val="22"/>
        </w:rPr>
        <w:t xml:space="preserve">. </w:t>
      </w:r>
    </w:p>
    <w:p w14:paraId="372171E5" w14:textId="77777777" w:rsidR="00A06856" w:rsidRDefault="00A06856">
      <w:pPr>
        <w:rPr>
          <w:rFonts w:ascii="Arial" w:eastAsia="Arial" w:hAnsi="Arial" w:cs="Arial"/>
          <w:sz w:val="22"/>
          <w:szCs w:val="22"/>
        </w:rPr>
      </w:pPr>
    </w:p>
    <w:p w14:paraId="191B2FB7" w14:textId="1E16B542" w:rsidR="006F16B7" w:rsidRDefault="008B2A4A">
      <w:pPr>
        <w:rPr>
          <w:rFonts w:ascii="Arial" w:eastAsia="Arial" w:hAnsi="Arial" w:cs="Arial"/>
          <w:sz w:val="22"/>
          <w:szCs w:val="22"/>
        </w:rPr>
      </w:pPr>
      <w:r w:rsidRPr="00975CE1">
        <w:rPr>
          <w:rFonts w:ascii="Arial" w:eastAsia="Arial" w:hAnsi="Arial" w:cs="Arial"/>
          <w:color w:val="000000"/>
          <w:sz w:val="22"/>
          <w:szCs w:val="22"/>
        </w:rPr>
        <w:t xml:space="preserve">“Argo AI </w:t>
      </w:r>
      <w:r w:rsidR="00EB2FF5">
        <w:rPr>
          <w:rFonts w:ascii="Arial" w:eastAsia="Arial" w:hAnsi="Arial" w:cs="Arial"/>
          <w:color w:val="000000"/>
          <w:sz w:val="22"/>
          <w:szCs w:val="22"/>
        </w:rPr>
        <w:t>is</w:t>
      </w:r>
      <w:r w:rsidRPr="00975CE1">
        <w:rPr>
          <w:rFonts w:ascii="Arial" w:eastAsia="Arial" w:hAnsi="Arial" w:cs="Arial"/>
          <w:color w:val="000000"/>
          <w:sz w:val="22"/>
          <w:szCs w:val="22"/>
        </w:rPr>
        <w:t xml:space="preserve"> fortunate </w:t>
      </w:r>
      <w:r w:rsidR="00EB2FF5">
        <w:rPr>
          <w:rFonts w:ascii="Arial" w:eastAsia="Arial" w:hAnsi="Arial" w:cs="Arial"/>
          <w:color w:val="000000"/>
          <w:sz w:val="22"/>
          <w:szCs w:val="22"/>
        </w:rPr>
        <w:t xml:space="preserve">to have a </w:t>
      </w:r>
      <w:r w:rsidRPr="00975CE1">
        <w:rPr>
          <w:rFonts w:ascii="Arial" w:eastAsia="Arial" w:hAnsi="Arial" w:cs="Arial"/>
          <w:color w:val="000000"/>
          <w:sz w:val="22"/>
          <w:szCs w:val="22"/>
        </w:rPr>
        <w:t xml:space="preserve">world-class </w:t>
      </w:r>
      <w:r w:rsidR="00EB2FF5">
        <w:rPr>
          <w:rFonts w:ascii="Arial" w:eastAsia="Arial" w:hAnsi="Arial" w:cs="Arial"/>
          <w:color w:val="000000"/>
          <w:sz w:val="22"/>
          <w:szCs w:val="22"/>
        </w:rPr>
        <w:t xml:space="preserve">team </w:t>
      </w:r>
      <w:r w:rsidRPr="00975CE1">
        <w:rPr>
          <w:rFonts w:ascii="Arial" w:eastAsia="Arial" w:hAnsi="Arial" w:cs="Arial"/>
          <w:color w:val="000000"/>
          <w:sz w:val="22"/>
          <w:szCs w:val="22"/>
        </w:rPr>
        <w:t xml:space="preserve"> due to our clear mission and the commitment to deployment from our partners</w:t>
      </w:r>
      <w:r w:rsidR="007D2ADC" w:rsidRPr="00975CE1">
        <w:rPr>
          <w:rFonts w:ascii="Arial" w:eastAsia="Arial" w:hAnsi="Arial" w:cs="Arial"/>
          <w:color w:val="000000"/>
          <w:sz w:val="22"/>
          <w:szCs w:val="22"/>
        </w:rPr>
        <w:t>, and together with AID</w:t>
      </w:r>
      <w:r w:rsidR="00A06856" w:rsidRPr="00A12B87">
        <w:rPr>
          <w:rFonts w:ascii="Arial" w:eastAsia="Arial" w:hAnsi="Arial" w:cs="Arial"/>
          <w:color w:val="000000"/>
          <w:sz w:val="22"/>
          <w:szCs w:val="22"/>
        </w:rPr>
        <w:t xml:space="preserve"> employees</w:t>
      </w:r>
      <w:r w:rsidR="007D2ADC" w:rsidRPr="00975CE1">
        <w:rPr>
          <w:rFonts w:ascii="Arial" w:eastAsia="Arial" w:hAnsi="Arial" w:cs="Arial"/>
          <w:color w:val="000000"/>
          <w:sz w:val="22"/>
          <w:szCs w:val="22"/>
        </w:rPr>
        <w:t xml:space="preserve">, we </w:t>
      </w:r>
      <w:r w:rsidR="00890BC6">
        <w:rPr>
          <w:rFonts w:ascii="Arial" w:eastAsia="Arial" w:hAnsi="Arial" w:cs="Arial"/>
          <w:color w:val="000000"/>
          <w:sz w:val="22"/>
          <w:szCs w:val="22"/>
        </w:rPr>
        <w:t>will</w:t>
      </w:r>
      <w:r w:rsidR="00890BC6" w:rsidRPr="00975CE1">
        <w:rPr>
          <w:rFonts w:ascii="Arial" w:eastAsia="Arial" w:hAnsi="Arial" w:cs="Arial"/>
          <w:color w:val="000000"/>
          <w:sz w:val="22"/>
          <w:szCs w:val="22"/>
        </w:rPr>
        <w:t xml:space="preserve"> </w:t>
      </w:r>
      <w:r w:rsidR="007D2ADC" w:rsidRPr="00975CE1">
        <w:rPr>
          <w:rFonts w:ascii="Arial" w:eastAsia="Arial" w:hAnsi="Arial" w:cs="Arial"/>
          <w:color w:val="000000"/>
          <w:sz w:val="22"/>
          <w:szCs w:val="22"/>
        </w:rPr>
        <w:t>have a</w:t>
      </w:r>
      <w:r w:rsidR="00A06856" w:rsidRPr="00A12B87">
        <w:rPr>
          <w:rFonts w:ascii="Arial" w:eastAsia="Arial" w:hAnsi="Arial" w:cs="Arial"/>
          <w:color w:val="000000"/>
          <w:sz w:val="22"/>
          <w:szCs w:val="22"/>
        </w:rPr>
        <w:t xml:space="preserve"> </w:t>
      </w:r>
      <w:r w:rsidR="007D2ADC" w:rsidRPr="00975CE1">
        <w:rPr>
          <w:rFonts w:ascii="Arial" w:eastAsia="Arial" w:hAnsi="Arial" w:cs="Arial"/>
          <w:color w:val="000000"/>
          <w:sz w:val="22"/>
          <w:szCs w:val="22"/>
        </w:rPr>
        <w:t xml:space="preserve">global workforce to  attract </w:t>
      </w:r>
      <w:r w:rsidR="00EB2FF5">
        <w:rPr>
          <w:rFonts w:ascii="Arial" w:eastAsia="Arial" w:hAnsi="Arial" w:cs="Arial"/>
          <w:color w:val="000000"/>
          <w:sz w:val="22"/>
          <w:szCs w:val="22"/>
        </w:rPr>
        <w:t xml:space="preserve">even more of </w:t>
      </w:r>
      <w:r w:rsidR="007D2ADC" w:rsidRPr="00975CE1">
        <w:rPr>
          <w:rFonts w:ascii="Arial" w:eastAsia="Arial" w:hAnsi="Arial" w:cs="Arial"/>
          <w:color w:val="000000"/>
          <w:sz w:val="22"/>
          <w:szCs w:val="22"/>
        </w:rPr>
        <w:t xml:space="preserve">the best talent,” said Salesky, </w:t>
      </w:r>
      <w:r w:rsidR="00EB2FF5">
        <w:rPr>
          <w:rFonts w:ascii="Arial" w:eastAsia="Arial" w:hAnsi="Arial" w:cs="Arial"/>
          <w:color w:val="000000"/>
          <w:sz w:val="22"/>
          <w:szCs w:val="22"/>
        </w:rPr>
        <w:t>co-</w:t>
      </w:r>
      <w:r w:rsidRPr="00975CE1">
        <w:rPr>
          <w:rFonts w:ascii="Arial" w:eastAsia="Arial" w:hAnsi="Arial" w:cs="Arial"/>
          <w:color w:val="000000"/>
          <w:sz w:val="22"/>
          <w:szCs w:val="22"/>
        </w:rPr>
        <w:t>founder of Argo AI. “</w:t>
      </w:r>
      <w:r w:rsidR="007D2ADC" w:rsidRPr="00975CE1">
        <w:rPr>
          <w:rFonts w:ascii="Arial" w:eastAsia="Arial" w:hAnsi="Arial" w:cs="Arial"/>
          <w:color w:val="000000"/>
          <w:sz w:val="22"/>
          <w:szCs w:val="22"/>
        </w:rPr>
        <w:t>Plus</w:t>
      </w:r>
      <w:r w:rsidRPr="00975CE1">
        <w:rPr>
          <w:rFonts w:ascii="Arial" w:eastAsia="Arial" w:hAnsi="Arial" w:cs="Arial"/>
          <w:color w:val="000000"/>
          <w:sz w:val="22"/>
          <w:szCs w:val="22"/>
        </w:rPr>
        <w:t>, thanks to Ford and Volkswagen, Argo AI technology could one day reach nearly every market in North America and Europe, applied across multiple brands and to a multitude of vehicle architectures.”</w:t>
      </w:r>
      <w:r>
        <w:rPr>
          <w:rFonts w:ascii="Arial" w:eastAsia="Arial" w:hAnsi="Arial" w:cs="Arial"/>
          <w:sz w:val="22"/>
          <w:szCs w:val="22"/>
        </w:rPr>
        <w:t xml:space="preserve"> </w:t>
      </w:r>
    </w:p>
    <w:p w14:paraId="43024AEF" w14:textId="77777777" w:rsidR="006F16B7" w:rsidRDefault="006F16B7">
      <w:pPr>
        <w:rPr>
          <w:rFonts w:ascii="Arial" w:eastAsia="Arial" w:hAnsi="Arial" w:cs="Arial"/>
          <w:sz w:val="22"/>
          <w:szCs w:val="22"/>
        </w:rPr>
      </w:pPr>
    </w:p>
    <w:p w14:paraId="52AFB025" w14:textId="683466E9" w:rsidR="00885959" w:rsidRDefault="00885959" w:rsidP="00885959">
      <w:pPr>
        <w:pStyle w:val="CommentText"/>
        <w:rPr>
          <w:lang w:val="de-DE"/>
        </w:rPr>
      </w:pPr>
      <w:r>
        <w:rPr>
          <w:rFonts w:ascii="Arial" w:hAnsi="Arial" w:cs="Arial"/>
          <w:sz w:val="22"/>
          <w:szCs w:val="22"/>
        </w:rPr>
        <w:t xml:space="preserve">Based in Munich, Germany, AID will become Argo AI´s new European </w:t>
      </w:r>
      <w:r w:rsidR="00EB2FF5">
        <w:rPr>
          <w:rFonts w:ascii="Arial" w:hAnsi="Arial" w:cs="Arial"/>
          <w:sz w:val="22"/>
          <w:szCs w:val="22"/>
        </w:rPr>
        <w:t>h</w:t>
      </w:r>
      <w:r>
        <w:rPr>
          <w:rFonts w:ascii="Arial" w:hAnsi="Arial" w:cs="Arial"/>
          <w:sz w:val="22"/>
          <w:szCs w:val="22"/>
        </w:rPr>
        <w:t>eadquarters and will be led by AID’s current CEO Karlheinz Wurm. With the addition of AID employees, Argo AI will grow from 500 to over 700 employees globally.</w:t>
      </w:r>
    </w:p>
    <w:p w14:paraId="39055D60" w14:textId="426F4122" w:rsidR="00885959" w:rsidRDefault="00885959" w:rsidP="00885959">
      <w:pPr>
        <w:rPr>
          <w:lang w:val="de-DE"/>
        </w:rPr>
      </w:pPr>
    </w:p>
    <w:p w14:paraId="1DDBEEDD" w14:textId="6A698F9D" w:rsidR="00885959" w:rsidRDefault="00885959" w:rsidP="00885959">
      <w:pPr>
        <w:rPr>
          <w:lang w:val="de-DE"/>
        </w:rPr>
      </w:pPr>
      <w:r>
        <w:rPr>
          <w:rFonts w:ascii="Arial" w:hAnsi="Arial" w:cs="Arial"/>
          <w:sz w:val="22"/>
          <w:szCs w:val="22"/>
          <w:lang w:val="en-GB"/>
        </w:rPr>
        <w:t>In addition to its global headquarters in Pittsburgh, Pa., the new location marks Argo AI’s first engineering center in Europe and the fifth globally in addition to Dearborn, Mich.; Cranbury, NJ; and Palo Alto, Calif. Collaborating with Ford, Argo AI also is testing its technology in Miami and Washington, D.C., where together they plan deployment of commercial services.</w:t>
      </w:r>
    </w:p>
    <w:p w14:paraId="51CDB1CC" w14:textId="77777777" w:rsidR="006F16B7" w:rsidRDefault="006F16B7">
      <w:pPr>
        <w:rPr>
          <w:rFonts w:ascii="Arial" w:eastAsia="Arial" w:hAnsi="Arial" w:cs="Arial"/>
          <w:b/>
          <w:sz w:val="22"/>
          <w:szCs w:val="22"/>
        </w:rPr>
      </w:pPr>
    </w:p>
    <w:p w14:paraId="5B2AAFF5" w14:textId="77777777" w:rsidR="006F16B7" w:rsidRDefault="008B2A4A">
      <w:pPr>
        <w:rPr>
          <w:rFonts w:ascii="Arial" w:eastAsia="Arial" w:hAnsi="Arial" w:cs="Arial"/>
          <w:b/>
          <w:sz w:val="22"/>
          <w:szCs w:val="22"/>
        </w:rPr>
      </w:pPr>
      <w:r>
        <w:rPr>
          <w:rFonts w:ascii="Arial" w:eastAsia="Arial" w:hAnsi="Arial" w:cs="Arial"/>
          <w:b/>
          <w:sz w:val="22"/>
          <w:szCs w:val="22"/>
        </w:rPr>
        <w:t>Ford to Use Volkswagen’s MEB Electric Vehicle Architecture for 600,000 Vehicles</w:t>
      </w:r>
    </w:p>
    <w:p w14:paraId="0FAD2379" w14:textId="77777777" w:rsidR="006F16B7" w:rsidRDefault="006F16B7">
      <w:pPr>
        <w:rPr>
          <w:rFonts w:ascii="Arial" w:eastAsia="Arial" w:hAnsi="Arial" w:cs="Arial"/>
          <w:b/>
          <w:sz w:val="22"/>
          <w:szCs w:val="22"/>
        </w:rPr>
      </w:pPr>
    </w:p>
    <w:p w14:paraId="003687CB" w14:textId="77777777" w:rsidR="006F16B7" w:rsidRDefault="008B2A4A">
      <w:pPr>
        <w:rPr>
          <w:rFonts w:ascii="Arial" w:eastAsia="Arial" w:hAnsi="Arial" w:cs="Arial"/>
          <w:sz w:val="22"/>
          <w:szCs w:val="22"/>
        </w:rPr>
      </w:pPr>
      <w:r>
        <w:rPr>
          <w:rFonts w:ascii="Arial" w:eastAsia="Arial" w:hAnsi="Arial" w:cs="Arial"/>
          <w:sz w:val="22"/>
          <w:szCs w:val="22"/>
        </w:rPr>
        <w:t xml:space="preserve">Ford plans to design </w:t>
      </w:r>
      <w:r w:rsidR="00021791">
        <w:rPr>
          <w:rFonts w:ascii="Arial" w:eastAsia="Arial" w:hAnsi="Arial" w:cs="Arial"/>
          <w:sz w:val="22"/>
          <w:szCs w:val="22"/>
        </w:rPr>
        <w:t xml:space="preserve">an </w:t>
      </w:r>
      <w:r>
        <w:rPr>
          <w:rFonts w:ascii="Arial" w:eastAsia="Arial" w:hAnsi="Arial" w:cs="Arial"/>
          <w:sz w:val="22"/>
          <w:szCs w:val="22"/>
        </w:rPr>
        <w:t xml:space="preserve">all-new, MEB-platform-based EV model, which starts arriving in 2023, in Köln-Merkenich, Germany. Volkswagen will supply </w:t>
      </w:r>
      <w:r w:rsidR="00992950">
        <w:rPr>
          <w:rFonts w:ascii="Arial" w:eastAsia="Arial" w:hAnsi="Arial" w:cs="Arial"/>
          <w:sz w:val="22"/>
          <w:szCs w:val="22"/>
        </w:rPr>
        <w:t xml:space="preserve">MEB </w:t>
      </w:r>
      <w:r w:rsidR="00021791">
        <w:rPr>
          <w:rFonts w:ascii="Arial" w:eastAsia="Arial" w:hAnsi="Arial" w:cs="Arial"/>
          <w:sz w:val="22"/>
          <w:szCs w:val="22"/>
        </w:rPr>
        <w:t>parts</w:t>
      </w:r>
      <w:r w:rsidR="00992950">
        <w:rPr>
          <w:rFonts w:ascii="Arial" w:eastAsia="Arial" w:hAnsi="Arial" w:cs="Arial"/>
          <w:sz w:val="22"/>
          <w:szCs w:val="22"/>
        </w:rPr>
        <w:t xml:space="preserve"> and components </w:t>
      </w:r>
      <w:r w:rsidR="00BA0F25">
        <w:rPr>
          <w:rFonts w:ascii="Arial" w:eastAsia="Arial" w:hAnsi="Arial" w:cs="Arial"/>
          <w:sz w:val="22"/>
          <w:szCs w:val="22"/>
        </w:rPr>
        <w:t>as part of the collaboration.</w:t>
      </w:r>
    </w:p>
    <w:p w14:paraId="47041804" w14:textId="77777777" w:rsidR="006F16B7" w:rsidRDefault="006F16B7">
      <w:pPr>
        <w:rPr>
          <w:rFonts w:ascii="Arial" w:eastAsia="Arial" w:hAnsi="Arial" w:cs="Arial"/>
          <w:sz w:val="22"/>
          <w:szCs w:val="22"/>
        </w:rPr>
      </w:pPr>
    </w:p>
    <w:p w14:paraId="031A1DD0" w14:textId="799D0F59" w:rsidR="006F16B7" w:rsidRDefault="008B2A4A">
      <w:pPr>
        <w:rPr>
          <w:rFonts w:ascii="Arial" w:eastAsia="Arial" w:hAnsi="Arial" w:cs="Arial"/>
          <w:sz w:val="22"/>
          <w:szCs w:val="22"/>
        </w:rPr>
      </w:pPr>
      <w:r>
        <w:rPr>
          <w:rFonts w:ascii="Arial" w:eastAsia="Arial" w:hAnsi="Arial" w:cs="Arial"/>
          <w:sz w:val="22"/>
          <w:szCs w:val="22"/>
        </w:rPr>
        <w:t xml:space="preserve">Both companies also will continue to target additional areas where they can work together on electric vehicles – a key strategic priority for both companies as they drive to accelerate the transition to sustainable </w:t>
      </w:r>
      <w:r w:rsidR="00A27C4C">
        <w:rPr>
          <w:rFonts w:ascii="Arial" w:eastAsia="Arial" w:hAnsi="Arial" w:cs="Arial"/>
          <w:sz w:val="22"/>
          <w:szCs w:val="22"/>
        </w:rPr>
        <w:t xml:space="preserve">and affordable </w:t>
      </w:r>
      <w:r>
        <w:rPr>
          <w:rFonts w:ascii="Arial" w:eastAsia="Arial" w:hAnsi="Arial" w:cs="Arial"/>
          <w:sz w:val="22"/>
          <w:szCs w:val="22"/>
        </w:rPr>
        <w:t>mobility.</w:t>
      </w:r>
    </w:p>
    <w:p w14:paraId="1BF65396" w14:textId="77777777" w:rsidR="006F16B7" w:rsidRDefault="006F16B7">
      <w:pPr>
        <w:rPr>
          <w:rFonts w:ascii="Arial" w:eastAsia="Arial" w:hAnsi="Arial" w:cs="Arial"/>
          <w:sz w:val="22"/>
          <w:szCs w:val="22"/>
        </w:rPr>
      </w:pPr>
    </w:p>
    <w:p w14:paraId="53F15C9D" w14:textId="5F665802" w:rsidR="006F16B7" w:rsidRDefault="008B2A4A">
      <w:pPr>
        <w:rPr>
          <w:rFonts w:ascii="Arial" w:eastAsia="Arial" w:hAnsi="Arial" w:cs="Arial"/>
          <w:sz w:val="22"/>
          <w:szCs w:val="22"/>
        </w:rPr>
      </w:pPr>
      <w:r>
        <w:rPr>
          <w:rFonts w:ascii="Arial" w:eastAsia="Arial" w:hAnsi="Arial" w:cs="Arial"/>
          <w:sz w:val="22"/>
          <w:szCs w:val="22"/>
        </w:rPr>
        <w:t xml:space="preserve">The agreement with Ford is a cornerstone in Volkswagen’s electric strategy, </w:t>
      </w:r>
      <w:r w:rsidR="00FB625B">
        <w:rPr>
          <w:rFonts w:ascii="Arial" w:eastAsia="Arial" w:hAnsi="Arial" w:cs="Arial"/>
          <w:sz w:val="22"/>
          <w:szCs w:val="22"/>
        </w:rPr>
        <w:t xml:space="preserve">supporting the growth of the </w:t>
      </w:r>
      <w:r>
        <w:rPr>
          <w:rFonts w:ascii="Arial" w:eastAsia="Arial" w:hAnsi="Arial" w:cs="Arial"/>
          <w:sz w:val="22"/>
          <w:szCs w:val="22"/>
        </w:rPr>
        <w:t xml:space="preserve">e-mobility industry </w:t>
      </w:r>
      <w:r w:rsidR="00FB625B">
        <w:rPr>
          <w:rFonts w:ascii="Arial" w:eastAsia="Arial" w:hAnsi="Arial" w:cs="Arial"/>
          <w:sz w:val="22"/>
          <w:szCs w:val="22"/>
        </w:rPr>
        <w:t>and</w:t>
      </w:r>
      <w:r>
        <w:rPr>
          <w:rFonts w:ascii="Arial" w:eastAsia="Arial" w:hAnsi="Arial" w:cs="Arial"/>
          <w:sz w:val="22"/>
          <w:szCs w:val="22"/>
        </w:rPr>
        <w:t xml:space="preserve"> facilitating global efforts to reach the Paris 2050 Agreement. </w:t>
      </w:r>
    </w:p>
    <w:p w14:paraId="6D7AC993" w14:textId="77777777" w:rsidR="006F16B7" w:rsidRDefault="006F16B7">
      <w:pPr>
        <w:rPr>
          <w:rFonts w:ascii="Arial" w:eastAsia="Arial" w:hAnsi="Arial" w:cs="Arial"/>
          <w:sz w:val="22"/>
          <w:szCs w:val="22"/>
        </w:rPr>
      </w:pPr>
    </w:p>
    <w:p w14:paraId="1A9404BD" w14:textId="77777777" w:rsidR="006F16B7" w:rsidRDefault="008B2A4A">
      <w:pPr>
        <w:rPr>
          <w:rFonts w:ascii="Arial" w:eastAsia="Arial" w:hAnsi="Arial" w:cs="Arial"/>
          <w:sz w:val="22"/>
          <w:szCs w:val="22"/>
        </w:rPr>
      </w:pPr>
      <w:r>
        <w:rPr>
          <w:rFonts w:ascii="Arial" w:eastAsia="Arial" w:hAnsi="Arial" w:cs="Arial"/>
          <w:b/>
          <w:sz w:val="22"/>
          <w:szCs w:val="22"/>
        </w:rPr>
        <w:t>Commercial Van and Pickup Collaboration On-Track</w:t>
      </w:r>
    </w:p>
    <w:p w14:paraId="3B8695B6" w14:textId="77777777" w:rsidR="006F16B7" w:rsidRDefault="006F16B7">
      <w:pPr>
        <w:rPr>
          <w:rFonts w:ascii="Arial" w:eastAsia="Arial" w:hAnsi="Arial" w:cs="Arial"/>
          <w:sz w:val="22"/>
          <w:szCs w:val="22"/>
        </w:rPr>
      </w:pPr>
    </w:p>
    <w:p w14:paraId="352A32CC" w14:textId="7F3DC842" w:rsidR="006F16B7" w:rsidRDefault="008B2A4A" w:rsidP="00B96AF4">
      <w:pPr>
        <w:rPr>
          <w:rFonts w:ascii="Arial" w:eastAsia="Arial" w:hAnsi="Arial" w:cs="Arial"/>
          <w:sz w:val="22"/>
          <w:szCs w:val="22"/>
        </w:rPr>
      </w:pPr>
      <w:r>
        <w:rPr>
          <w:rFonts w:ascii="Arial" w:eastAsia="Arial" w:hAnsi="Arial" w:cs="Arial"/>
          <w:sz w:val="22"/>
          <w:szCs w:val="22"/>
        </w:rPr>
        <w:t>Ford and Volkswagen remain on</w:t>
      </w:r>
      <w:r w:rsidR="00924C64">
        <w:rPr>
          <w:rFonts w:ascii="Arial" w:eastAsia="Arial" w:hAnsi="Arial" w:cs="Arial"/>
          <w:sz w:val="22"/>
          <w:szCs w:val="22"/>
        </w:rPr>
        <w:t xml:space="preserve"> track</w:t>
      </w:r>
      <w:r>
        <w:rPr>
          <w:rFonts w:ascii="Arial" w:eastAsia="Arial" w:hAnsi="Arial" w:cs="Arial"/>
          <w:sz w:val="22"/>
          <w:szCs w:val="22"/>
        </w:rPr>
        <w:t xml:space="preserve"> </w:t>
      </w:r>
      <w:r w:rsidR="004F47BF">
        <w:rPr>
          <w:rFonts w:ascii="Arial" w:eastAsia="Arial" w:hAnsi="Arial" w:cs="Arial"/>
          <w:sz w:val="22"/>
          <w:szCs w:val="22"/>
        </w:rPr>
        <w:t xml:space="preserve">in </w:t>
      </w:r>
      <w:r>
        <w:rPr>
          <w:rFonts w:ascii="Arial" w:eastAsia="Arial" w:hAnsi="Arial" w:cs="Arial"/>
          <w:sz w:val="22"/>
          <w:szCs w:val="22"/>
        </w:rPr>
        <w:t xml:space="preserve">their previously announced </w:t>
      </w:r>
      <w:r w:rsidR="004F47BF">
        <w:rPr>
          <w:rFonts w:ascii="Arial" w:eastAsia="Arial" w:hAnsi="Arial" w:cs="Arial"/>
          <w:sz w:val="22"/>
          <w:szCs w:val="22"/>
        </w:rPr>
        <w:t xml:space="preserve">plan </w:t>
      </w:r>
      <w:r>
        <w:rPr>
          <w:rFonts w:ascii="Arial" w:eastAsia="Arial" w:hAnsi="Arial" w:cs="Arial"/>
          <w:sz w:val="22"/>
          <w:szCs w:val="22"/>
        </w:rPr>
        <w:t xml:space="preserve">to </w:t>
      </w:r>
      <w:r w:rsidR="00FB625B">
        <w:rPr>
          <w:rFonts w:ascii="Arial" w:eastAsia="Arial" w:hAnsi="Arial" w:cs="Arial"/>
          <w:sz w:val="22"/>
          <w:szCs w:val="22"/>
        </w:rPr>
        <w:t>improve</w:t>
      </w:r>
      <w:r>
        <w:rPr>
          <w:rFonts w:ascii="Arial" w:eastAsia="Arial" w:hAnsi="Arial" w:cs="Arial"/>
          <w:sz w:val="22"/>
          <w:szCs w:val="22"/>
        </w:rPr>
        <w:t xml:space="preserve"> their </w:t>
      </w:r>
      <w:r w:rsidR="00FB625B">
        <w:rPr>
          <w:rFonts w:ascii="Arial" w:eastAsia="Arial" w:hAnsi="Arial" w:cs="Arial"/>
          <w:sz w:val="22"/>
          <w:szCs w:val="22"/>
        </w:rPr>
        <w:t>respective</w:t>
      </w:r>
      <w:r>
        <w:rPr>
          <w:rFonts w:ascii="Arial" w:eastAsia="Arial" w:hAnsi="Arial" w:cs="Arial"/>
          <w:sz w:val="22"/>
          <w:szCs w:val="22"/>
        </w:rPr>
        <w:t xml:space="preserve"> strengths in commercial vans and medium pickups in key global markets. The work on these vehicle lines will create </w:t>
      </w:r>
      <w:r w:rsidR="00B96AF4">
        <w:rPr>
          <w:rFonts w:ascii="Arial" w:eastAsia="Arial" w:hAnsi="Arial" w:cs="Arial"/>
          <w:sz w:val="22"/>
          <w:szCs w:val="22"/>
        </w:rPr>
        <w:t>significant</w:t>
      </w:r>
      <w:r>
        <w:rPr>
          <w:rFonts w:ascii="Arial" w:eastAsia="Arial" w:hAnsi="Arial" w:cs="Arial"/>
          <w:sz w:val="22"/>
          <w:szCs w:val="22"/>
        </w:rPr>
        <w:t xml:space="preserve"> </w:t>
      </w:r>
      <w:r w:rsidR="003E4239">
        <w:rPr>
          <w:rFonts w:ascii="Arial" w:eastAsia="Arial" w:hAnsi="Arial" w:cs="Arial"/>
          <w:sz w:val="22"/>
          <w:szCs w:val="22"/>
        </w:rPr>
        <w:t>efficiencies for each company</w:t>
      </w:r>
      <w:r w:rsidR="00B96AF4">
        <w:rPr>
          <w:rFonts w:ascii="Arial" w:eastAsia="Arial" w:hAnsi="Arial" w:cs="Arial"/>
          <w:sz w:val="22"/>
          <w:szCs w:val="22"/>
        </w:rPr>
        <w:t xml:space="preserve">. </w:t>
      </w:r>
      <w:r>
        <w:rPr>
          <w:rFonts w:ascii="Arial" w:eastAsia="Arial" w:hAnsi="Arial" w:cs="Arial"/>
          <w:sz w:val="22"/>
          <w:szCs w:val="22"/>
        </w:rPr>
        <w:t xml:space="preserve"> </w:t>
      </w:r>
    </w:p>
    <w:p w14:paraId="2EEB811F" w14:textId="77777777" w:rsidR="00B35358" w:rsidRDefault="00B35358">
      <w:pPr>
        <w:rPr>
          <w:rFonts w:ascii="Arial" w:eastAsia="Arial" w:hAnsi="Arial" w:cs="Arial"/>
          <w:sz w:val="22"/>
          <w:szCs w:val="22"/>
        </w:rPr>
      </w:pPr>
    </w:p>
    <w:p w14:paraId="1BC540E8" w14:textId="77777777" w:rsidR="006F16B7" w:rsidRPr="00A12B87" w:rsidRDefault="008B2A4A">
      <w:pPr>
        <w:rPr>
          <w:rFonts w:ascii="Arial" w:eastAsia="Arial" w:hAnsi="Arial" w:cs="Arial"/>
          <w:sz w:val="22"/>
          <w:szCs w:val="22"/>
        </w:rPr>
      </w:pPr>
      <w:r w:rsidRPr="00A12B87">
        <w:rPr>
          <w:rFonts w:ascii="Arial" w:eastAsia="Arial" w:hAnsi="Arial" w:cs="Arial"/>
          <w:sz w:val="22"/>
          <w:szCs w:val="22"/>
        </w:rPr>
        <w:t>Ford will engineer, source and build the previously announced medium pickup for both companies for customers in Europe, Africa, the Middle East, Asia Pacific and South America, with trucks expected to arrive in key markets as early as 2022.</w:t>
      </w:r>
    </w:p>
    <w:p w14:paraId="3456E8FA" w14:textId="77777777" w:rsidR="006F16B7" w:rsidRDefault="008B2A4A">
      <w:pPr>
        <w:rPr>
          <w:rFonts w:ascii="Arial" w:eastAsia="Arial" w:hAnsi="Arial" w:cs="Arial"/>
          <w:sz w:val="22"/>
          <w:szCs w:val="22"/>
        </w:rPr>
      </w:pPr>
      <w:r w:rsidRPr="00A12B87">
        <w:rPr>
          <w:rFonts w:ascii="Arial" w:eastAsia="Arial" w:hAnsi="Arial" w:cs="Arial"/>
          <w:sz w:val="22"/>
          <w:szCs w:val="22"/>
        </w:rPr>
        <w:t>For both companies, Ford intends to engineer, source and build larger commercial vans for European customers starting in 2022, and Volkswagen intends to develop, source and build a city van for sale in Europe and other select global markets.</w:t>
      </w:r>
    </w:p>
    <w:p w14:paraId="05349EA8" w14:textId="77777777" w:rsidR="006F16B7" w:rsidRDefault="006F16B7">
      <w:pPr>
        <w:rPr>
          <w:rFonts w:ascii="Arial" w:eastAsia="Arial" w:hAnsi="Arial" w:cs="Arial"/>
          <w:sz w:val="22"/>
          <w:szCs w:val="22"/>
        </w:rPr>
      </w:pPr>
    </w:p>
    <w:p w14:paraId="4EB752B8" w14:textId="3DA70790" w:rsidR="006F16B7" w:rsidRDefault="008B2A4A">
      <w:pPr>
        <w:rPr>
          <w:rFonts w:ascii="Arial" w:eastAsia="Arial" w:hAnsi="Arial" w:cs="Arial"/>
          <w:sz w:val="22"/>
          <w:szCs w:val="22"/>
        </w:rPr>
      </w:pPr>
      <w:r>
        <w:rPr>
          <w:rFonts w:ascii="Arial" w:eastAsia="Arial" w:hAnsi="Arial" w:cs="Arial"/>
          <w:sz w:val="22"/>
          <w:szCs w:val="22"/>
        </w:rPr>
        <w:t xml:space="preserve">Volkswagen and Ford have strong </w:t>
      </w:r>
      <w:r w:rsidR="00FB625B">
        <w:rPr>
          <w:rFonts w:ascii="Arial" w:eastAsia="Arial" w:hAnsi="Arial" w:cs="Arial"/>
          <w:sz w:val="22"/>
          <w:szCs w:val="22"/>
        </w:rPr>
        <w:t xml:space="preserve">complementary </w:t>
      </w:r>
      <w:r>
        <w:rPr>
          <w:rFonts w:ascii="Arial" w:eastAsia="Arial" w:hAnsi="Arial" w:cs="Arial"/>
          <w:sz w:val="22"/>
          <w:szCs w:val="22"/>
        </w:rPr>
        <w:t xml:space="preserve">commercial van and pickup businesses around the world, with popular models including the Ford Transit lineup and Ranger as well as the Volkswagen Transporter, Caddy and Amarok. </w:t>
      </w:r>
    </w:p>
    <w:p w14:paraId="69ED45D1" w14:textId="7D0F6B9A" w:rsidR="006F16B7" w:rsidRDefault="006F16B7">
      <w:pPr>
        <w:rPr>
          <w:rFonts w:ascii="Arial" w:eastAsia="Arial" w:hAnsi="Arial" w:cs="Arial"/>
          <w:sz w:val="22"/>
          <w:szCs w:val="22"/>
        </w:rPr>
      </w:pPr>
    </w:p>
    <w:p w14:paraId="4E9C4F1F" w14:textId="3F24891F" w:rsidR="006F16B7" w:rsidRDefault="008B2A4A">
      <w:r>
        <w:rPr>
          <w:rFonts w:ascii="Arial" w:eastAsia="Arial" w:hAnsi="Arial" w:cs="Arial"/>
          <w:sz w:val="22"/>
          <w:szCs w:val="22"/>
        </w:rPr>
        <w:t xml:space="preserve">As both companies expect customer demand for medium pickups and commercial vans to grow globally in the next five years, collaborating on these key segments will allow better technologies and more innovation to reach </w:t>
      </w:r>
      <w:r w:rsidR="00FB625B">
        <w:rPr>
          <w:rFonts w:ascii="Arial" w:eastAsia="Arial" w:hAnsi="Arial" w:cs="Arial"/>
          <w:sz w:val="22"/>
          <w:szCs w:val="22"/>
        </w:rPr>
        <w:t xml:space="preserve">their respective </w:t>
      </w:r>
      <w:r>
        <w:rPr>
          <w:rFonts w:ascii="Arial" w:eastAsia="Arial" w:hAnsi="Arial" w:cs="Arial"/>
          <w:sz w:val="22"/>
          <w:szCs w:val="22"/>
        </w:rPr>
        <w:t>customers more quickly – with better plant capacity utilization.</w:t>
      </w:r>
    </w:p>
    <w:p w14:paraId="5D943D30" w14:textId="77777777" w:rsidR="006F16B7" w:rsidRDefault="008B2A4A">
      <w:pPr>
        <w:jc w:val="center"/>
        <w:rPr>
          <w:rFonts w:ascii="Arial" w:eastAsia="Arial" w:hAnsi="Arial" w:cs="Arial"/>
          <w:sz w:val="22"/>
          <w:szCs w:val="22"/>
        </w:rPr>
      </w:pPr>
      <w:r>
        <w:rPr>
          <w:rFonts w:ascii="Arial" w:eastAsia="Arial" w:hAnsi="Arial" w:cs="Arial"/>
          <w:sz w:val="22"/>
          <w:szCs w:val="22"/>
        </w:rPr>
        <w:t># # #</w:t>
      </w:r>
    </w:p>
    <w:p w14:paraId="1AFC4DFB" w14:textId="77777777" w:rsidR="006F16B7" w:rsidRDefault="006F16B7">
      <w:pPr>
        <w:jc w:val="center"/>
      </w:pPr>
    </w:p>
    <w:p w14:paraId="5C484D1B" w14:textId="77777777" w:rsidR="006F16B7" w:rsidRDefault="008B2A4A">
      <w:pPr>
        <w:rPr>
          <w:rFonts w:ascii="Arial" w:eastAsia="Arial" w:hAnsi="Arial" w:cs="Arial"/>
          <w:b/>
          <w:i/>
        </w:rPr>
      </w:pPr>
      <w:r>
        <w:rPr>
          <w:rFonts w:ascii="Arial" w:eastAsia="Arial" w:hAnsi="Arial" w:cs="Arial"/>
          <w:b/>
          <w:i/>
        </w:rPr>
        <w:t>About Volkswagen Group</w:t>
      </w:r>
    </w:p>
    <w:p w14:paraId="5CC2E41E" w14:textId="77777777" w:rsidR="006F16B7" w:rsidRDefault="008B2A4A">
      <w:pPr>
        <w:rPr>
          <w:rFonts w:ascii="Arial" w:eastAsia="Arial" w:hAnsi="Arial" w:cs="Arial"/>
        </w:rPr>
      </w:pPr>
      <w:r>
        <w:rPr>
          <w:rFonts w:ascii="Arial" w:eastAsia="Arial" w:hAnsi="Arial" w:cs="Arial"/>
          <w:i/>
        </w:rPr>
        <w:t xml:space="preserve">The Volkswagen Group, with its headquarters in Wolfsburg, is one of the world’s leading automobile manufacturers and the largest carmaker in Europe. The Group comprises twelve brands from seven European countries:  Volkswagen Passenger Cars, Audi, SEAT, ŠKODA, Bentley, Bugatti, Lamborghini, Porsche, Ducati, Volkswagen Commercial Vehicles, Scania and MAN. The passenger car portfolio ranges from small cars all the way to luxury-class vehicles. Ducati offers motorcycles. In the light and heavy commercial vehicles sector, the products include ranges from pick-ups, buses and heavy trucks. Every weekday, 664,496 employees around the globe produce on average 44,567 vehicles, are involved in vehicle-related services or work in other areas of business. The Volkswagen Group sells its vehicles in 153 countries. In 2018, the total number of vehicles supplied to customers by the Group globally was 10,8 million (2017: 10,7 million). The passenger car global market share was 12.3 per cent. In Western Europe 22.0 per cent of all new passenger cars come from the Volkswagen Group. Group sales revenue in 2018 totaled €235.8 billion (2017: €231 billion). Earnings after tax in 2018 amounted to €17.1 billion (2017: €11.6 billion). </w:t>
      </w:r>
      <w:hyperlink r:id="rId7">
        <w:r>
          <w:rPr>
            <w:rFonts w:ascii="Arial" w:eastAsia="Arial" w:hAnsi="Arial" w:cs="Arial"/>
            <w:i/>
            <w:color w:val="0000FF"/>
            <w:u w:val="single"/>
          </w:rPr>
          <w:t>www.volkswagenag.com</w:t>
        </w:r>
      </w:hyperlink>
      <w:r>
        <w:rPr>
          <w:rFonts w:ascii="Arial" w:eastAsia="Arial" w:hAnsi="Arial" w:cs="Arial"/>
          <w:i/>
          <w:u w:val="single"/>
        </w:rPr>
        <w:t>.</w:t>
      </w:r>
      <w:r>
        <w:rPr>
          <w:rFonts w:ascii="Arial" w:eastAsia="Arial" w:hAnsi="Arial" w:cs="Arial"/>
          <w:b/>
          <w:i/>
        </w:rPr>
        <w:t xml:space="preserve"> </w:t>
      </w:r>
    </w:p>
    <w:p w14:paraId="3BB62E89" w14:textId="77777777" w:rsidR="006F16B7" w:rsidRDefault="006F16B7">
      <w:pPr>
        <w:rPr>
          <w:rFonts w:ascii="Arial" w:eastAsia="Arial" w:hAnsi="Arial" w:cs="Arial"/>
        </w:rPr>
      </w:pPr>
    </w:p>
    <w:p w14:paraId="57241D3A" w14:textId="77777777" w:rsidR="006F16B7" w:rsidRDefault="008B2A4A">
      <w:pPr>
        <w:rPr>
          <w:rFonts w:ascii="Arial" w:eastAsia="Arial" w:hAnsi="Arial" w:cs="Arial"/>
          <w:b/>
          <w:i/>
        </w:rPr>
      </w:pPr>
      <w:r>
        <w:rPr>
          <w:rFonts w:ascii="Arial" w:eastAsia="Arial" w:hAnsi="Arial" w:cs="Arial"/>
          <w:b/>
          <w:i/>
        </w:rPr>
        <w:t>About Ford Motor Company</w:t>
      </w:r>
    </w:p>
    <w:p w14:paraId="1F8223A6" w14:textId="77777777" w:rsidR="006F16B7" w:rsidRDefault="008B2A4A">
      <w:pPr>
        <w:rPr>
          <w:rFonts w:ascii="Arial" w:eastAsia="Arial" w:hAnsi="Arial" w:cs="Arial"/>
          <w:i/>
        </w:rPr>
      </w:pPr>
      <w:r>
        <w:rPr>
          <w:rFonts w:ascii="Arial" w:eastAsia="Arial" w:hAnsi="Arial" w:cs="Arial"/>
          <w:i/>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196,000 people worldwide. For more information regarding Ford, its products and Ford Motor Credit Company, please visit </w:t>
      </w:r>
      <w:hyperlink r:id="rId8">
        <w:r>
          <w:rPr>
            <w:rFonts w:ascii="Arial" w:eastAsia="Arial" w:hAnsi="Arial" w:cs="Arial"/>
            <w:i/>
            <w:color w:val="0000FF"/>
            <w:u w:val="single"/>
          </w:rPr>
          <w:t>www.corporate.ford.com</w:t>
        </w:r>
      </w:hyperlink>
      <w:r>
        <w:rPr>
          <w:rFonts w:ascii="Arial" w:eastAsia="Arial" w:hAnsi="Arial" w:cs="Arial"/>
          <w:i/>
        </w:rPr>
        <w:t>.</w:t>
      </w:r>
    </w:p>
    <w:p w14:paraId="5E9E4828" w14:textId="77777777" w:rsidR="006F16B7" w:rsidRDefault="006F16B7">
      <w:pPr>
        <w:rPr>
          <w:rFonts w:ascii="Arial" w:eastAsia="Arial" w:hAnsi="Arial" w:cs="Arial"/>
          <w:i/>
        </w:rPr>
      </w:pPr>
    </w:p>
    <w:p w14:paraId="794310DA" w14:textId="77777777" w:rsidR="006F16B7" w:rsidRDefault="008B2A4A">
      <w:pPr>
        <w:pStyle w:val="Heading3"/>
        <w:spacing w:before="0"/>
        <w:rPr>
          <w:rFonts w:ascii="Arial" w:eastAsia="Arial" w:hAnsi="Arial" w:cs="Arial"/>
          <w:i/>
          <w:color w:val="485052"/>
          <w:sz w:val="20"/>
          <w:szCs w:val="20"/>
        </w:rPr>
      </w:pPr>
      <w:r>
        <w:rPr>
          <w:rFonts w:ascii="Arial" w:eastAsia="Arial" w:hAnsi="Arial" w:cs="Arial"/>
          <w:b/>
          <w:i/>
          <w:color w:val="333333"/>
          <w:sz w:val="20"/>
          <w:szCs w:val="20"/>
        </w:rPr>
        <w:t>About Argo AI</w:t>
      </w:r>
    </w:p>
    <w:p w14:paraId="6BAAB942" w14:textId="77777777" w:rsidR="00285CD9" w:rsidRDefault="00285CD9" w:rsidP="00285CD9">
      <w:r>
        <w:rPr>
          <w:rFonts w:ascii="Arial" w:hAnsi="Arial" w:cs="Arial"/>
          <w:i/>
          <w:iCs/>
          <w:color w:val="333333"/>
        </w:rPr>
        <w:t xml:space="preserve">Argo AI is an </w:t>
      </w:r>
      <w:r w:rsidRPr="007A4A3D">
        <w:rPr>
          <w:rFonts w:ascii="Arial" w:hAnsi="Arial" w:cs="Arial"/>
          <w:i/>
          <w:iCs/>
          <w:color w:val="333333"/>
        </w:rPr>
        <w:t>autonomous vehicle technology platform</w:t>
      </w:r>
      <w:r>
        <w:rPr>
          <w:rFonts w:ascii="Arial" w:hAnsi="Arial" w:cs="Arial"/>
          <w:i/>
          <w:iCs/>
          <w:color w:val="333333"/>
        </w:rPr>
        <w:t xml:space="preserve"> company based in Pittsburgh, Pennsylvania. </w:t>
      </w:r>
    </w:p>
    <w:p w14:paraId="1CEA71BC" w14:textId="5D0708E0" w:rsidR="006F16B7" w:rsidRDefault="00102F38">
      <w:pPr>
        <w:rPr>
          <w:rFonts w:ascii="Arial" w:eastAsia="Arial" w:hAnsi="Arial" w:cs="Arial"/>
          <w:i/>
          <w:color w:val="485052"/>
        </w:rPr>
      </w:pPr>
      <w:r>
        <w:rPr>
          <w:rFonts w:ascii="Arial" w:eastAsia="Arial" w:hAnsi="Arial" w:cs="Arial"/>
          <w:i/>
          <w:color w:val="333333"/>
        </w:rPr>
        <w:t xml:space="preserve">The </w:t>
      </w:r>
      <w:r w:rsidR="008B2A4A">
        <w:rPr>
          <w:rFonts w:ascii="Arial" w:eastAsia="Arial" w:hAnsi="Arial" w:cs="Arial"/>
          <w:i/>
          <w:color w:val="333333"/>
        </w:rPr>
        <w:t xml:space="preserve">company is developing self-driving technology in partnership with leading automakers to provide a safer, more affordable, convenient, and accessible way to get around. Argo AI employs approximately 500 people with engineering centers located in Dearborn, Mich.; Cranbury, NJ; and Palo Alto, Calif. For more information regarding Argo, please visit </w:t>
      </w:r>
      <w:hyperlink r:id="rId9">
        <w:r w:rsidR="008B2A4A">
          <w:rPr>
            <w:rFonts w:ascii="Arial" w:eastAsia="Arial" w:hAnsi="Arial" w:cs="Arial"/>
            <w:i/>
            <w:color w:val="0000FF"/>
            <w:u w:val="single"/>
          </w:rPr>
          <w:t>www.argo.ai</w:t>
        </w:r>
      </w:hyperlink>
      <w:r w:rsidR="008B2A4A">
        <w:rPr>
          <w:rFonts w:ascii="Arial" w:eastAsia="Arial" w:hAnsi="Arial" w:cs="Arial"/>
          <w:i/>
          <w:color w:val="333333"/>
        </w:rPr>
        <w:t xml:space="preserve">. </w:t>
      </w:r>
    </w:p>
    <w:p w14:paraId="6919FA8F" w14:textId="77777777" w:rsidR="006F16B7" w:rsidRDefault="006F16B7">
      <w:pPr>
        <w:rPr>
          <w:rFonts w:ascii="Arial" w:eastAsia="Arial" w:hAnsi="Arial" w:cs="Arial"/>
          <w:i/>
        </w:rPr>
      </w:pPr>
    </w:p>
    <w:p w14:paraId="24AE21CF" w14:textId="77777777" w:rsidR="006F16B7" w:rsidRDefault="008B2A4A">
      <w:pPr>
        <w:rPr>
          <w:rFonts w:ascii="Arial" w:eastAsia="Arial" w:hAnsi="Arial" w:cs="Arial"/>
          <w:b/>
          <w:i/>
        </w:rPr>
      </w:pPr>
      <w:r>
        <w:rPr>
          <w:rFonts w:ascii="Arial" w:eastAsia="Arial" w:hAnsi="Arial" w:cs="Arial"/>
          <w:b/>
          <w:i/>
        </w:rPr>
        <w:t xml:space="preserve">Forward Looking Statements </w:t>
      </w:r>
    </w:p>
    <w:p w14:paraId="4753BE37" w14:textId="77777777" w:rsidR="006F16B7" w:rsidRDefault="008B2A4A">
      <w:pPr>
        <w:rPr>
          <w:rFonts w:ascii="Arial" w:eastAsia="Arial" w:hAnsi="Arial" w:cs="Arial"/>
          <w:b/>
          <w:i/>
          <w:sz w:val="22"/>
          <w:szCs w:val="22"/>
        </w:rPr>
      </w:pPr>
      <w:r>
        <w:rPr>
          <w:rFonts w:ascii="Arial" w:eastAsia="Arial" w:hAnsi="Arial" w:cs="Arial"/>
          <w:i/>
        </w:rPr>
        <w:t>Statements included herein may constitute “forward-looking statements” within the meaning of the Private Securities Litigation Reform Act of 1995. Forward-looking statements are based on current expectations for future events.</w:t>
      </w:r>
      <w:r>
        <w:rPr>
          <w:rFonts w:ascii="Arial" w:eastAsia="Arial" w:hAnsi="Arial" w:cs="Arial"/>
          <w:i/>
          <w:color w:val="000000"/>
        </w:rPr>
        <w:t xml:space="preserve"> Actual results could differ materially from those stated because</w:t>
      </w:r>
      <w:r>
        <w:rPr>
          <w:rFonts w:ascii="Arial" w:eastAsia="Arial" w:hAnsi="Arial" w:cs="Arial"/>
          <w:i/>
        </w:rPr>
        <w:t xml:space="preserve"> of risks, uncertainties and other factors</w:t>
      </w:r>
      <w:r>
        <w:rPr>
          <w:rFonts w:ascii="Arial" w:eastAsia="Arial" w:hAnsi="Arial" w:cs="Arial"/>
          <w:i/>
          <w:color w:val="000000"/>
        </w:rPr>
        <w:t>, including those related to market acceptance of new and existing products and mobility services; defects that result in delays in new model launches, recall campaigns, or increased warranty; modifications to product plans to comply with safety, emissions, fuel economy, and other regulations; and cybersecurity risks.</w:t>
      </w:r>
      <w:r>
        <w:rPr>
          <w:rFonts w:ascii="Arial" w:eastAsia="Arial" w:hAnsi="Arial" w:cs="Arial"/>
          <w:i/>
        </w:rPr>
        <w:t xml:space="preserve"> Forward-looking statements speak only as of the date of their initial issuance. For additional discussion, see Item 1A in Ford’s 2018 Form 10-K report.</w:t>
      </w:r>
    </w:p>
    <w:p w14:paraId="5E9E907A" w14:textId="04198186" w:rsidR="004C0156" w:rsidRDefault="004C0156">
      <w:pPr>
        <w:rPr>
          <w:rFonts w:ascii="Arial" w:eastAsia="Arial" w:hAnsi="Arial" w:cs="Arial"/>
          <w:b/>
          <w:sz w:val="22"/>
          <w:szCs w:val="22"/>
        </w:rPr>
      </w:pPr>
    </w:p>
    <w:p w14:paraId="1F113FA7" w14:textId="77777777" w:rsidR="004C0156" w:rsidRDefault="004C0156" w:rsidP="004C0156"/>
    <w:tbl>
      <w:tblPr>
        <w:tblW w:w="9768" w:type="dxa"/>
        <w:tblLayout w:type="fixed"/>
        <w:tblLook w:val="0000" w:firstRow="0" w:lastRow="0" w:firstColumn="0" w:lastColumn="0" w:noHBand="0" w:noVBand="0"/>
      </w:tblPr>
      <w:tblGrid>
        <w:gridCol w:w="1188"/>
        <w:gridCol w:w="3060"/>
        <w:gridCol w:w="1139"/>
        <w:gridCol w:w="4381"/>
      </w:tblGrid>
      <w:tr w:rsidR="004C0156" w:rsidRPr="00705F55" w14:paraId="776E2C50" w14:textId="77777777" w:rsidTr="00FF4FB9">
        <w:trPr>
          <w:trHeight w:val="490"/>
        </w:trPr>
        <w:tc>
          <w:tcPr>
            <w:tcW w:w="1188" w:type="dxa"/>
          </w:tcPr>
          <w:p w14:paraId="73C3B7F7" w14:textId="77777777" w:rsidR="004C0156" w:rsidRPr="00705F55" w:rsidRDefault="004C0156" w:rsidP="00FF4FB9">
            <w:pPr>
              <w:rPr>
                <w:rFonts w:ascii="Arial" w:hAnsi="Arial" w:cs="Arial"/>
                <w:color w:val="000000"/>
                <w:szCs w:val="24"/>
              </w:rPr>
            </w:pPr>
            <w:r w:rsidRPr="00705F55">
              <w:rPr>
                <w:rFonts w:ascii="Arial" w:hAnsi="Arial" w:cs="Arial"/>
                <w:b/>
                <w:bCs/>
                <w:iCs/>
                <w:color w:val="000000"/>
                <w:szCs w:val="24"/>
              </w:rPr>
              <w:t>Contacts:</w:t>
            </w:r>
          </w:p>
        </w:tc>
        <w:tc>
          <w:tcPr>
            <w:tcW w:w="3060" w:type="dxa"/>
          </w:tcPr>
          <w:p w14:paraId="367577D1" w14:textId="77777777" w:rsidR="004C0156" w:rsidRPr="00705F55" w:rsidRDefault="004C0156" w:rsidP="00FF4FB9">
            <w:pPr>
              <w:rPr>
                <w:rFonts w:ascii="Arial" w:hAnsi="Arial" w:cs="Arial"/>
                <w:color w:val="000000"/>
                <w:szCs w:val="24"/>
              </w:rPr>
            </w:pPr>
            <w:r w:rsidRPr="00705F55">
              <w:rPr>
                <w:rFonts w:ascii="Arial" w:hAnsi="Arial" w:cs="Arial"/>
                <w:color w:val="000000"/>
                <w:szCs w:val="24"/>
              </w:rPr>
              <w:t xml:space="preserve">Sue </w:t>
            </w:r>
            <w:proofErr w:type="spellStart"/>
            <w:r w:rsidRPr="00705F55">
              <w:rPr>
                <w:rFonts w:ascii="Arial" w:hAnsi="Arial" w:cs="Arial"/>
                <w:color w:val="000000"/>
                <w:szCs w:val="24"/>
              </w:rPr>
              <w:t>Nigoghossian</w:t>
            </w:r>
            <w:proofErr w:type="spellEnd"/>
          </w:p>
          <w:p w14:paraId="538254C8" w14:textId="77777777" w:rsidR="004C0156" w:rsidRDefault="004C0156" w:rsidP="00FF4FB9">
            <w:pPr>
              <w:rPr>
                <w:rFonts w:ascii="Arial" w:hAnsi="Arial" w:cs="Arial"/>
                <w:color w:val="000000"/>
                <w:szCs w:val="24"/>
              </w:rPr>
            </w:pPr>
            <w:r>
              <w:rPr>
                <w:rFonts w:ascii="Arial" w:hAnsi="Arial" w:cs="Arial"/>
                <w:color w:val="000000"/>
                <w:szCs w:val="24"/>
              </w:rPr>
              <w:t>MENA Communications</w:t>
            </w:r>
          </w:p>
          <w:p w14:paraId="49FB5DEA" w14:textId="77777777" w:rsidR="004C0156" w:rsidRPr="00705F55" w:rsidRDefault="004C0156" w:rsidP="00FF4FB9">
            <w:pPr>
              <w:rPr>
                <w:rFonts w:ascii="Arial" w:hAnsi="Arial" w:cs="Arial"/>
                <w:color w:val="000000"/>
                <w:szCs w:val="24"/>
              </w:rPr>
            </w:pPr>
            <w:r w:rsidRPr="00705F55">
              <w:rPr>
                <w:rFonts w:ascii="Arial" w:hAnsi="Arial" w:cs="Arial"/>
                <w:color w:val="000000"/>
                <w:szCs w:val="24"/>
              </w:rPr>
              <w:t xml:space="preserve">Ford Middle East </w:t>
            </w:r>
            <w:r>
              <w:rPr>
                <w:rFonts w:ascii="Arial" w:hAnsi="Arial" w:cs="Arial"/>
                <w:color w:val="000000"/>
                <w:szCs w:val="24"/>
              </w:rPr>
              <w:t>&amp; Africa</w:t>
            </w:r>
          </w:p>
        </w:tc>
        <w:tc>
          <w:tcPr>
            <w:tcW w:w="1139" w:type="dxa"/>
          </w:tcPr>
          <w:p w14:paraId="4B4EAB01" w14:textId="77777777" w:rsidR="004C0156" w:rsidRPr="00607DE4" w:rsidRDefault="004C0156" w:rsidP="00FF4FB9">
            <w:pPr>
              <w:rPr>
                <w:rFonts w:ascii="Arial" w:hAnsi="Arial" w:cs="Arial"/>
                <w:color w:val="000000"/>
                <w:szCs w:val="24"/>
              </w:rPr>
            </w:pPr>
          </w:p>
        </w:tc>
        <w:tc>
          <w:tcPr>
            <w:tcW w:w="4381" w:type="dxa"/>
          </w:tcPr>
          <w:p w14:paraId="24032CC4" w14:textId="77777777" w:rsidR="004C0156" w:rsidRPr="00705F55" w:rsidRDefault="004C0156" w:rsidP="00FF4FB9">
            <w:pPr>
              <w:rPr>
                <w:rFonts w:ascii="Arial" w:hAnsi="Arial" w:cs="Arial"/>
                <w:color w:val="000000"/>
                <w:szCs w:val="24"/>
              </w:rPr>
            </w:pPr>
            <w:proofErr w:type="spellStart"/>
            <w:r w:rsidRPr="00705F55">
              <w:rPr>
                <w:rFonts w:ascii="Arial" w:hAnsi="Arial" w:cs="Arial"/>
                <w:color w:val="000000"/>
                <w:szCs w:val="24"/>
              </w:rPr>
              <w:t>Rasha</w:t>
            </w:r>
            <w:proofErr w:type="spellEnd"/>
            <w:r w:rsidRPr="00705F55">
              <w:rPr>
                <w:rFonts w:ascii="Arial" w:hAnsi="Arial" w:cs="Arial"/>
                <w:color w:val="000000"/>
                <w:szCs w:val="24"/>
              </w:rPr>
              <w:t xml:space="preserve"> Ghanem </w:t>
            </w:r>
          </w:p>
          <w:p w14:paraId="28D92828" w14:textId="77777777" w:rsidR="004C0156" w:rsidRDefault="004C0156" w:rsidP="00FF4FB9">
            <w:pPr>
              <w:rPr>
                <w:rFonts w:ascii="Arial" w:hAnsi="Arial" w:cs="Arial"/>
                <w:color w:val="000000"/>
                <w:szCs w:val="24"/>
              </w:rPr>
            </w:pPr>
            <w:r w:rsidRPr="00705F55">
              <w:rPr>
                <w:rFonts w:ascii="Arial" w:hAnsi="Arial" w:cs="Arial"/>
                <w:color w:val="000000"/>
                <w:szCs w:val="24"/>
              </w:rPr>
              <w:t>ASDA’A B</w:t>
            </w:r>
            <w:r>
              <w:rPr>
                <w:rFonts w:ascii="Arial" w:hAnsi="Arial" w:cs="Arial"/>
                <w:color w:val="000000"/>
                <w:szCs w:val="24"/>
              </w:rPr>
              <w:t>CW</w:t>
            </w:r>
          </w:p>
          <w:p w14:paraId="2DE64EEA" w14:textId="77777777" w:rsidR="004C0156" w:rsidRPr="00705F55" w:rsidRDefault="004C0156" w:rsidP="00FF4FB9">
            <w:pPr>
              <w:rPr>
                <w:rFonts w:ascii="Arial" w:hAnsi="Arial" w:cs="Arial"/>
                <w:color w:val="000000"/>
                <w:szCs w:val="24"/>
              </w:rPr>
            </w:pPr>
            <w:r w:rsidRPr="00705F55">
              <w:rPr>
                <w:rFonts w:ascii="Arial" w:hAnsi="Arial" w:cs="Arial"/>
                <w:color w:val="000000"/>
                <w:szCs w:val="24"/>
              </w:rPr>
              <w:t>971-4-4507600</w:t>
            </w:r>
          </w:p>
        </w:tc>
      </w:tr>
      <w:tr w:rsidR="004C0156" w:rsidRPr="00705F55" w14:paraId="1517BD8A" w14:textId="77777777" w:rsidTr="00FF4FB9">
        <w:tc>
          <w:tcPr>
            <w:tcW w:w="1188" w:type="dxa"/>
          </w:tcPr>
          <w:p w14:paraId="58A6F9F0" w14:textId="77777777" w:rsidR="004C0156" w:rsidRPr="00705F55" w:rsidRDefault="004C0156" w:rsidP="00FF4FB9">
            <w:pPr>
              <w:rPr>
                <w:rFonts w:ascii="Arial" w:hAnsi="Arial" w:cs="Arial"/>
                <w:color w:val="000000"/>
                <w:szCs w:val="24"/>
              </w:rPr>
            </w:pPr>
          </w:p>
        </w:tc>
        <w:tc>
          <w:tcPr>
            <w:tcW w:w="3060" w:type="dxa"/>
          </w:tcPr>
          <w:p w14:paraId="18CF5637" w14:textId="77777777" w:rsidR="004C0156" w:rsidRPr="00705F55" w:rsidRDefault="004C0156" w:rsidP="00FF4FB9">
            <w:pPr>
              <w:rPr>
                <w:rFonts w:ascii="Arial" w:hAnsi="Arial" w:cs="Arial"/>
                <w:color w:val="000000"/>
                <w:szCs w:val="24"/>
              </w:rPr>
            </w:pPr>
            <w:r w:rsidRPr="00705F55">
              <w:rPr>
                <w:rFonts w:ascii="Arial" w:hAnsi="Arial" w:cs="Arial"/>
                <w:color w:val="000000"/>
                <w:szCs w:val="24"/>
              </w:rPr>
              <w:t>971-4-</w:t>
            </w:r>
            <w:r>
              <w:rPr>
                <w:rFonts w:ascii="Arial" w:hAnsi="Arial" w:cs="Arial"/>
                <w:color w:val="000000"/>
                <w:szCs w:val="24"/>
              </w:rPr>
              <w:t>356-6368</w:t>
            </w:r>
          </w:p>
        </w:tc>
        <w:tc>
          <w:tcPr>
            <w:tcW w:w="1139" w:type="dxa"/>
          </w:tcPr>
          <w:p w14:paraId="652B3047" w14:textId="77777777" w:rsidR="004C0156" w:rsidRPr="00705F55" w:rsidRDefault="004C0156" w:rsidP="00FF4FB9">
            <w:pPr>
              <w:rPr>
                <w:rFonts w:ascii="Arial" w:hAnsi="Arial" w:cs="Arial"/>
                <w:color w:val="000000"/>
                <w:szCs w:val="24"/>
              </w:rPr>
            </w:pPr>
          </w:p>
        </w:tc>
        <w:tc>
          <w:tcPr>
            <w:tcW w:w="4381" w:type="dxa"/>
          </w:tcPr>
          <w:p w14:paraId="44E80BC1" w14:textId="77777777" w:rsidR="004C0156" w:rsidRPr="00705F55" w:rsidRDefault="00F56586" w:rsidP="00FF4FB9">
            <w:pPr>
              <w:rPr>
                <w:rFonts w:ascii="Arial" w:hAnsi="Arial" w:cs="Arial"/>
                <w:color w:val="000000"/>
                <w:szCs w:val="24"/>
              </w:rPr>
            </w:pPr>
            <w:hyperlink r:id="rId10" w:history="1">
              <w:r w:rsidR="004C0156" w:rsidRPr="00ED6142">
                <w:rPr>
                  <w:rStyle w:val="Hyperlink"/>
                  <w:rFonts w:ascii="Arial" w:hAnsi="Arial" w:cs="Arial"/>
                  <w:szCs w:val="24"/>
                </w:rPr>
                <w:t>rasha.ghanem@bcw-global.com</w:t>
              </w:r>
            </w:hyperlink>
          </w:p>
        </w:tc>
      </w:tr>
      <w:tr w:rsidR="004C0156" w:rsidRPr="00705F55" w14:paraId="2B4CB22A" w14:textId="77777777" w:rsidTr="00FF4FB9">
        <w:tc>
          <w:tcPr>
            <w:tcW w:w="1188" w:type="dxa"/>
          </w:tcPr>
          <w:p w14:paraId="4ACF031E" w14:textId="77777777" w:rsidR="004C0156" w:rsidRPr="00705F55" w:rsidRDefault="004C0156" w:rsidP="00FF4FB9">
            <w:pPr>
              <w:rPr>
                <w:rFonts w:ascii="Arial" w:hAnsi="Arial" w:cs="Arial"/>
                <w:color w:val="000000"/>
                <w:szCs w:val="24"/>
              </w:rPr>
            </w:pPr>
          </w:p>
        </w:tc>
        <w:tc>
          <w:tcPr>
            <w:tcW w:w="3060" w:type="dxa"/>
          </w:tcPr>
          <w:p w14:paraId="02B76148" w14:textId="77777777" w:rsidR="004C0156" w:rsidRPr="00705F55" w:rsidRDefault="00F56586" w:rsidP="00FF4FB9">
            <w:pPr>
              <w:rPr>
                <w:rFonts w:ascii="Arial" w:hAnsi="Arial" w:cs="Arial"/>
                <w:color w:val="000000"/>
                <w:szCs w:val="24"/>
              </w:rPr>
            </w:pPr>
            <w:hyperlink r:id="rId11" w:history="1">
              <w:r w:rsidR="004C0156" w:rsidRPr="00705F55">
                <w:rPr>
                  <w:rFonts w:ascii="Arial" w:hAnsi="Arial" w:cs="Arial"/>
                  <w:color w:val="0000FF"/>
                  <w:szCs w:val="24"/>
                  <w:u w:val="single"/>
                </w:rPr>
                <w:t>snigogho@ford.com</w:t>
              </w:r>
            </w:hyperlink>
            <w:r w:rsidR="004C0156" w:rsidRPr="00705F55">
              <w:rPr>
                <w:rFonts w:ascii="Arial" w:hAnsi="Arial" w:cs="Arial"/>
                <w:color w:val="000000"/>
                <w:szCs w:val="24"/>
              </w:rPr>
              <w:t xml:space="preserve"> </w:t>
            </w:r>
          </w:p>
        </w:tc>
        <w:tc>
          <w:tcPr>
            <w:tcW w:w="1139" w:type="dxa"/>
          </w:tcPr>
          <w:p w14:paraId="501BB04B" w14:textId="77777777" w:rsidR="004C0156" w:rsidRPr="00705F55" w:rsidRDefault="004C0156" w:rsidP="00FF4FB9">
            <w:pPr>
              <w:rPr>
                <w:rFonts w:ascii="Arial" w:hAnsi="Arial" w:cs="Arial"/>
                <w:color w:val="000000"/>
                <w:szCs w:val="24"/>
                <w:u w:val="single"/>
              </w:rPr>
            </w:pPr>
          </w:p>
        </w:tc>
        <w:tc>
          <w:tcPr>
            <w:tcW w:w="4381" w:type="dxa"/>
          </w:tcPr>
          <w:p w14:paraId="5146FC5F" w14:textId="77777777" w:rsidR="004C0156" w:rsidRPr="00705F55" w:rsidRDefault="004C0156" w:rsidP="00FF4FB9">
            <w:pPr>
              <w:rPr>
                <w:rFonts w:ascii="Arial" w:hAnsi="Arial" w:cs="Arial"/>
                <w:color w:val="000000"/>
                <w:szCs w:val="24"/>
              </w:rPr>
            </w:pPr>
          </w:p>
        </w:tc>
      </w:tr>
    </w:tbl>
    <w:p w14:paraId="618AA60E" w14:textId="77777777" w:rsidR="004C0156" w:rsidRDefault="004C0156">
      <w:pPr>
        <w:rPr>
          <w:rFonts w:ascii="Arial" w:eastAsia="Arial" w:hAnsi="Arial" w:cs="Arial"/>
          <w:b/>
          <w:sz w:val="22"/>
          <w:szCs w:val="22"/>
        </w:rPr>
      </w:pPr>
    </w:p>
    <w:sectPr w:rsidR="004C0156">
      <w:footerReference w:type="even" r:id="rId12"/>
      <w:footerReference w:type="default" r:id="rId13"/>
      <w:headerReference w:type="first" r:id="rId14"/>
      <w:footerReference w:type="first" r:id="rId15"/>
      <w:pgSz w:w="12240" w:h="15840"/>
      <w:pgMar w:top="1440" w:right="1440" w:bottom="864" w:left="1440" w:header="57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EC083" w14:textId="77777777" w:rsidR="005B1237" w:rsidRDefault="005B1237">
      <w:r>
        <w:separator/>
      </w:r>
    </w:p>
  </w:endnote>
  <w:endnote w:type="continuationSeparator" w:id="0">
    <w:p w14:paraId="4A6A5F7B" w14:textId="77777777" w:rsidR="005B1237" w:rsidRDefault="005B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DA3B" w14:textId="77777777" w:rsidR="006F16B7" w:rsidRDefault="008B2A4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1F5CED2" w14:textId="77777777" w:rsidR="006F16B7" w:rsidRDefault="006F16B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2EBB" w14:textId="77777777" w:rsidR="004C0156" w:rsidRDefault="004C0156" w:rsidP="004C0156">
    <w:pPr>
      <w:pStyle w:val="Footer"/>
      <w:jc w:val="center"/>
      <w:rPr>
        <w:rFonts w:cs="Arial"/>
        <w:sz w:val="18"/>
        <w:szCs w:val="18"/>
      </w:rPr>
    </w:pPr>
  </w:p>
  <w:p w14:paraId="51870424" w14:textId="0822CC2F" w:rsidR="006F16B7" w:rsidRPr="004C0156" w:rsidRDefault="004C0156" w:rsidP="004C0156">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9ED4" w14:textId="77777777" w:rsidR="004C0156" w:rsidRDefault="004C0156" w:rsidP="004C0156">
    <w:pPr>
      <w:pStyle w:val="Footer"/>
      <w:jc w:val="center"/>
      <w:rPr>
        <w:rFonts w:cs="Arial"/>
        <w:sz w:val="18"/>
        <w:szCs w:val="18"/>
      </w:rPr>
    </w:pPr>
  </w:p>
  <w:p w14:paraId="200BE8EB" w14:textId="3509EE38" w:rsidR="006F16B7" w:rsidRPr="004C0156" w:rsidRDefault="004C0156" w:rsidP="004C0156">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C27E" w14:textId="77777777" w:rsidR="005B1237" w:rsidRDefault="005B1237">
      <w:r>
        <w:separator/>
      </w:r>
    </w:p>
  </w:footnote>
  <w:footnote w:type="continuationSeparator" w:id="0">
    <w:p w14:paraId="1F343503" w14:textId="77777777" w:rsidR="005B1237" w:rsidRDefault="005B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D011" w14:textId="7BBDCBB7" w:rsidR="006F16B7" w:rsidRPr="004C0156" w:rsidRDefault="004C0156" w:rsidP="004C0156">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1D43A44" wp14:editId="35CC1FFD">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76F6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72F40C37" wp14:editId="17859BFC">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0226"/>
    <w:multiLevelType w:val="hybridMultilevel"/>
    <w:tmpl w:val="51940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77466B"/>
    <w:multiLevelType w:val="multilevel"/>
    <w:tmpl w:val="58A06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F16B7"/>
    <w:rsid w:val="00021791"/>
    <w:rsid w:val="00054086"/>
    <w:rsid w:val="000575BE"/>
    <w:rsid w:val="00062C9E"/>
    <w:rsid w:val="000766A9"/>
    <w:rsid w:val="000812A3"/>
    <w:rsid w:val="000E3E32"/>
    <w:rsid w:val="000F1AE4"/>
    <w:rsid w:val="000F2145"/>
    <w:rsid w:val="00102F38"/>
    <w:rsid w:val="00110B94"/>
    <w:rsid w:val="00114943"/>
    <w:rsid w:val="00120E43"/>
    <w:rsid w:val="0014729F"/>
    <w:rsid w:val="00156F74"/>
    <w:rsid w:val="00164604"/>
    <w:rsid w:val="0017150D"/>
    <w:rsid w:val="00174E4D"/>
    <w:rsid w:val="001B0C05"/>
    <w:rsid w:val="001D71A4"/>
    <w:rsid w:val="001E4C5B"/>
    <w:rsid w:val="001F15C5"/>
    <w:rsid w:val="001F459B"/>
    <w:rsid w:val="00206EA4"/>
    <w:rsid w:val="00206FAD"/>
    <w:rsid w:val="0021400C"/>
    <w:rsid w:val="00233A1E"/>
    <w:rsid w:val="00285CD9"/>
    <w:rsid w:val="00294435"/>
    <w:rsid w:val="00296881"/>
    <w:rsid w:val="002A427F"/>
    <w:rsid w:val="002C15E8"/>
    <w:rsid w:val="002D6305"/>
    <w:rsid w:val="0033223A"/>
    <w:rsid w:val="003536FD"/>
    <w:rsid w:val="003637BE"/>
    <w:rsid w:val="00363BF7"/>
    <w:rsid w:val="00374802"/>
    <w:rsid w:val="003D462A"/>
    <w:rsid w:val="003E1399"/>
    <w:rsid w:val="003E4239"/>
    <w:rsid w:val="0040781E"/>
    <w:rsid w:val="004405C8"/>
    <w:rsid w:val="00450521"/>
    <w:rsid w:val="004A0537"/>
    <w:rsid w:val="004A2823"/>
    <w:rsid w:val="004B4626"/>
    <w:rsid w:val="004B5652"/>
    <w:rsid w:val="004C0156"/>
    <w:rsid w:val="004E0300"/>
    <w:rsid w:val="004F47BF"/>
    <w:rsid w:val="00526E5D"/>
    <w:rsid w:val="00540142"/>
    <w:rsid w:val="00570C07"/>
    <w:rsid w:val="005A0604"/>
    <w:rsid w:val="005A0D2E"/>
    <w:rsid w:val="005B1237"/>
    <w:rsid w:val="005B18A3"/>
    <w:rsid w:val="005B4354"/>
    <w:rsid w:val="005B7CEC"/>
    <w:rsid w:val="005C6A5A"/>
    <w:rsid w:val="005C6DB2"/>
    <w:rsid w:val="005E2C7C"/>
    <w:rsid w:val="005F6207"/>
    <w:rsid w:val="005F77A4"/>
    <w:rsid w:val="006212C2"/>
    <w:rsid w:val="00625599"/>
    <w:rsid w:val="00625FF2"/>
    <w:rsid w:val="00626E05"/>
    <w:rsid w:val="00633BDA"/>
    <w:rsid w:val="006434E6"/>
    <w:rsid w:val="00654808"/>
    <w:rsid w:val="006815CC"/>
    <w:rsid w:val="006935C7"/>
    <w:rsid w:val="006A6127"/>
    <w:rsid w:val="006B0BCF"/>
    <w:rsid w:val="006B4723"/>
    <w:rsid w:val="006B4E26"/>
    <w:rsid w:val="006B7DE4"/>
    <w:rsid w:val="006D0E22"/>
    <w:rsid w:val="006D76BB"/>
    <w:rsid w:val="006E11D0"/>
    <w:rsid w:val="006E3377"/>
    <w:rsid w:val="006F16B7"/>
    <w:rsid w:val="00722FB5"/>
    <w:rsid w:val="007369F1"/>
    <w:rsid w:val="00736DED"/>
    <w:rsid w:val="007445BD"/>
    <w:rsid w:val="00746C55"/>
    <w:rsid w:val="007626C6"/>
    <w:rsid w:val="00762E94"/>
    <w:rsid w:val="007865AE"/>
    <w:rsid w:val="00790065"/>
    <w:rsid w:val="007A4A3D"/>
    <w:rsid w:val="007D2ADC"/>
    <w:rsid w:val="007E06DC"/>
    <w:rsid w:val="007F023A"/>
    <w:rsid w:val="007F0B85"/>
    <w:rsid w:val="007F7041"/>
    <w:rsid w:val="0083402A"/>
    <w:rsid w:val="008432D8"/>
    <w:rsid w:val="00855C8E"/>
    <w:rsid w:val="00856C2A"/>
    <w:rsid w:val="008730F0"/>
    <w:rsid w:val="00885959"/>
    <w:rsid w:val="00890BC6"/>
    <w:rsid w:val="00896424"/>
    <w:rsid w:val="008B2A4A"/>
    <w:rsid w:val="008B6D63"/>
    <w:rsid w:val="008C097C"/>
    <w:rsid w:val="008C3D6F"/>
    <w:rsid w:val="008D5050"/>
    <w:rsid w:val="00924C64"/>
    <w:rsid w:val="00926B29"/>
    <w:rsid w:val="00934652"/>
    <w:rsid w:val="0094389D"/>
    <w:rsid w:val="009556C6"/>
    <w:rsid w:val="00956775"/>
    <w:rsid w:val="00971BF3"/>
    <w:rsid w:val="00972B37"/>
    <w:rsid w:val="00975CE1"/>
    <w:rsid w:val="00983097"/>
    <w:rsid w:val="0099223E"/>
    <w:rsid w:val="00992950"/>
    <w:rsid w:val="00995CDB"/>
    <w:rsid w:val="009A4D93"/>
    <w:rsid w:val="009B20B3"/>
    <w:rsid w:val="009B4611"/>
    <w:rsid w:val="009D0705"/>
    <w:rsid w:val="009E4985"/>
    <w:rsid w:val="00A06856"/>
    <w:rsid w:val="00A12B87"/>
    <w:rsid w:val="00A27C4C"/>
    <w:rsid w:val="00A41E42"/>
    <w:rsid w:val="00A4366E"/>
    <w:rsid w:val="00A512D6"/>
    <w:rsid w:val="00A6727E"/>
    <w:rsid w:val="00A673A7"/>
    <w:rsid w:val="00A80AD3"/>
    <w:rsid w:val="00AA70AA"/>
    <w:rsid w:val="00AB3130"/>
    <w:rsid w:val="00AF6AE1"/>
    <w:rsid w:val="00B148DF"/>
    <w:rsid w:val="00B22E7A"/>
    <w:rsid w:val="00B30652"/>
    <w:rsid w:val="00B30D46"/>
    <w:rsid w:val="00B32FFF"/>
    <w:rsid w:val="00B35358"/>
    <w:rsid w:val="00B76858"/>
    <w:rsid w:val="00B901CD"/>
    <w:rsid w:val="00B937F4"/>
    <w:rsid w:val="00B96AF4"/>
    <w:rsid w:val="00BA0F25"/>
    <w:rsid w:val="00BB66C4"/>
    <w:rsid w:val="00BD0125"/>
    <w:rsid w:val="00BE4545"/>
    <w:rsid w:val="00C0591A"/>
    <w:rsid w:val="00C0598E"/>
    <w:rsid w:val="00C337C7"/>
    <w:rsid w:val="00C40290"/>
    <w:rsid w:val="00C50279"/>
    <w:rsid w:val="00C52B83"/>
    <w:rsid w:val="00C7048A"/>
    <w:rsid w:val="00C96C38"/>
    <w:rsid w:val="00CA1F51"/>
    <w:rsid w:val="00CA6EE7"/>
    <w:rsid w:val="00CE3A0B"/>
    <w:rsid w:val="00D07124"/>
    <w:rsid w:val="00D13878"/>
    <w:rsid w:val="00D15334"/>
    <w:rsid w:val="00D272B1"/>
    <w:rsid w:val="00D54BCF"/>
    <w:rsid w:val="00D621AB"/>
    <w:rsid w:val="00D806D0"/>
    <w:rsid w:val="00D81C70"/>
    <w:rsid w:val="00DC0641"/>
    <w:rsid w:val="00DD46DF"/>
    <w:rsid w:val="00E16FCE"/>
    <w:rsid w:val="00E3645A"/>
    <w:rsid w:val="00E531E3"/>
    <w:rsid w:val="00E60DEB"/>
    <w:rsid w:val="00E63F2F"/>
    <w:rsid w:val="00E87F01"/>
    <w:rsid w:val="00EB2FF5"/>
    <w:rsid w:val="00EB7EB5"/>
    <w:rsid w:val="00F141B7"/>
    <w:rsid w:val="00F22042"/>
    <w:rsid w:val="00F30235"/>
    <w:rsid w:val="00F42629"/>
    <w:rsid w:val="00F56586"/>
    <w:rsid w:val="00F62B64"/>
    <w:rsid w:val="00F639CA"/>
    <w:rsid w:val="00F767B4"/>
    <w:rsid w:val="00F83C86"/>
    <w:rsid w:val="00F95BB5"/>
    <w:rsid w:val="00FB625B"/>
    <w:rsid w:val="00FB6B1B"/>
    <w:rsid w:val="00FD14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56208"/>
  <w15:docId w15:val="{E5F27158-0EB9-4B66-919F-0469C98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40"/>
      <w:outlineLvl w:val="3"/>
    </w:pPr>
    <w:rPr>
      <w:rFonts w:ascii="Calibri" w:eastAsia="Calibri" w:hAnsi="Calibri" w:cs="Calibri"/>
      <w:i/>
      <w:color w:val="2E75B5"/>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ahoma" w:eastAsia="Tahoma" w:hAnsi="Tahoma" w:cs="Tahoma"/>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6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7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56775"/>
    <w:rPr>
      <w:b/>
      <w:bCs/>
    </w:rPr>
  </w:style>
  <w:style w:type="character" w:customStyle="1" w:styleId="CommentSubjectChar">
    <w:name w:val="Comment Subject Char"/>
    <w:basedOn w:val="CommentTextChar"/>
    <w:link w:val="CommentSubject"/>
    <w:uiPriority w:val="99"/>
    <w:semiHidden/>
    <w:rsid w:val="00956775"/>
    <w:rPr>
      <w:b/>
      <w:bCs/>
    </w:rPr>
  </w:style>
  <w:style w:type="paragraph" w:styleId="Revision">
    <w:name w:val="Revision"/>
    <w:hidden/>
    <w:uiPriority w:val="99"/>
    <w:semiHidden/>
    <w:rsid w:val="00F22042"/>
  </w:style>
  <w:style w:type="paragraph" w:styleId="ListParagraph">
    <w:name w:val="List Paragraph"/>
    <w:basedOn w:val="Normal"/>
    <w:uiPriority w:val="34"/>
    <w:qFormat/>
    <w:rsid w:val="00654808"/>
    <w:pPr>
      <w:ind w:left="720"/>
      <w:contextualSpacing/>
    </w:pPr>
  </w:style>
  <w:style w:type="paragraph" w:styleId="Header">
    <w:name w:val="header"/>
    <w:basedOn w:val="Normal"/>
    <w:link w:val="HeaderChar"/>
    <w:uiPriority w:val="99"/>
    <w:unhideWhenUsed/>
    <w:rsid w:val="00FB625B"/>
    <w:pPr>
      <w:tabs>
        <w:tab w:val="center" w:pos="4536"/>
        <w:tab w:val="right" w:pos="9072"/>
      </w:tabs>
    </w:pPr>
  </w:style>
  <w:style w:type="character" w:customStyle="1" w:styleId="HeaderChar">
    <w:name w:val="Header Char"/>
    <w:basedOn w:val="DefaultParagraphFont"/>
    <w:link w:val="Header"/>
    <w:uiPriority w:val="99"/>
    <w:rsid w:val="00FB625B"/>
  </w:style>
  <w:style w:type="paragraph" w:styleId="NormalWeb">
    <w:name w:val="Normal (Web)"/>
    <w:basedOn w:val="Normal"/>
    <w:uiPriority w:val="99"/>
    <w:semiHidden/>
    <w:unhideWhenUsed/>
    <w:rsid w:val="007E06DC"/>
    <w:pPr>
      <w:spacing w:before="100" w:beforeAutospacing="1" w:after="100" w:afterAutospacing="1"/>
    </w:pPr>
    <w:rPr>
      <w:sz w:val="24"/>
      <w:szCs w:val="24"/>
    </w:rPr>
  </w:style>
  <w:style w:type="character" w:styleId="Hyperlink">
    <w:name w:val="Hyperlink"/>
    <w:uiPriority w:val="99"/>
    <w:rsid w:val="00C337C7"/>
    <w:rPr>
      <w:color w:val="0000FF"/>
      <w:u w:val="single"/>
    </w:rPr>
  </w:style>
  <w:style w:type="paragraph" w:styleId="Footer">
    <w:name w:val="footer"/>
    <w:basedOn w:val="Normal"/>
    <w:link w:val="FooterChar"/>
    <w:uiPriority w:val="99"/>
    <w:unhideWhenUsed/>
    <w:rsid w:val="004C0156"/>
    <w:pPr>
      <w:tabs>
        <w:tab w:val="center" w:pos="4680"/>
        <w:tab w:val="right" w:pos="9360"/>
      </w:tabs>
    </w:pPr>
  </w:style>
  <w:style w:type="character" w:customStyle="1" w:styleId="FooterChar">
    <w:name w:val="Footer Char"/>
    <w:basedOn w:val="DefaultParagraphFont"/>
    <w:link w:val="Footer"/>
    <w:uiPriority w:val="99"/>
    <w:rsid w:val="004C0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50188">
      <w:bodyDiv w:val="1"/>
      <w:marLeft w:val="0"/>
      <w:marRight w:val="0"/>
      <w:marTop w:val="0"/>
      <w:marBottom w:val="0"/>
      <w:divBdr>
        <w:top w:val="none" w:sz="0" w:space="0" w:color="auto"/>
        <w:left w:val="none" w:sz="0" w:space="0" w:color="auto"/>
        <w:bottom w:val="none" w:sz="0" w:space="0" w:color="auto"/>
        <w:right w:val="none" w:sz="0" w:space="0" w:color="auto"/>
      </w:divBdr>
    </w:div>
    <w:div w:id="377050553">
      <w:bodyDiv w:val="1"/>
      <w:marLeft w:val="0"/>
      <w:marRight w:val="0"/>
      <w:marTop w:val="0"/>
      <w:marBottom w:val="0"/>
      <w:divBdr>
        <w:top w:val="none" w:sz="0" w:space="0" w:color="auto"/>
        <w:left w:val="none" w:sz="0" w:space="0" w:color="auto"/>
        <w:bottom w:val="none" w:sz="0" w:space="0" w:color="auto"/>
        <w:right w:val="none" w:sz="0" w:space="0" w:color="auto"/>
      </w:divBdr>
    </w:div>
    <w:div w:id="719403859">
      <w:bodyDiv w:val="1"/>
      <w:marLeft w:val="0"/>
      <w:marRight w:val="0"/>
      <w:marTop w:val="0"/>
      <w:marBottom w:val="0"/>
      <w:divBdr>
        <w:top w:val="none" w:sz="0" w:space="0" w:color="auto"/>
        <w:left w:val="none" w:sz="0" w:space="0" w:color="auto"/>
        <w:bottom w:val="none" w:sz="0" w:space="0" w:color="auto"/>
        <w:right w:val="none" w:sz="0" w:space="0" w:color="auto"/>
      </w:divBdr>
    </w:div>
    <w:div w:id="829559073">
      <w:bodyDiv w:val="1"/>
      <w:marLeft w:val="0"/>
      <w:marRight w:val="0"/>
      <w:marTop w:val="0"/>
      <w:marBottom w:val="0"/>
      <w:divBdr>
        <w:top w:val="none" w:sz="0" w:space="0" w:color="auto"/>
        <w:left w:val="none" w:sz="0" w:space="0" w:color="auto"/>
        <w:bottom w:val="none" w:sz="0" w:space="0" w:color="auto"/>
        <w:right w:val="none" w:sz="0" w:space="0" w:color="auto"/>
      </w:divBdr>
    </w:div>
    <w:div w:id="1020932254">
      <w:bodyDiv w:val="1"/>
      <w:marLeft w:val="0"/>
      <w:marRight w:val="0"/>
      <w:marTop w:val="0"/>
      <w:marBottom w:val="0"/>
      <w:divBdr>
        <w:top w:val="none" w:sz="0" w:space="0" w:color="auto"/>
        <w:left w:val="none" w:sz="0" w:space="0" w:color="auto"/>
        <w:bottom w:val="none" w:sz="0" w:space="0" w:color="auto"/>
        <w:right w:val="none" w:sz="0" w:space="0" w:color="auto"/>
      </w:divBdr>
    </w:div>
    <w:div w:id="1211190882">
      <w:bodyDiv w:val="1"/>
      <w:marLeft w:val="0"/>
      <w:marRight w:val="0"/>
      <w:marTop w:val="0"/>
      <w:marBottom w:val="0"/>
      <w:divBdr>
        <w:top w:val="none" w:sz="0" w:space="0" w:color="auto"/>
        <w:left w:val="none" w:sz="0" w:space="0" w:color="auto"/>
        <w:bottom w:val="none" w:sz="0" w:space="0" w:color="auto"/>
        <w:right w:val="none" w:sz="0" w:space="0" w:color="auto"/>
      </w:divBdr>
    </w:div>
    <w:div w:id="1833134038">
      <w:bodyDiv w:val="1"/>
      <w:marLeft w:val="0"/>
      <w:marRight w:val="0"/>
      <w:marTop w:val="0"/>
      <w:marBottom w:val="0"/>
      <w:divBdr>
        <w:top w:val="none" w:sz="0" w:space="0" w:color="auto"/>
        <w:left w:val="none" w:sz="0" w:space="0" w:color="auto"/>
        <w:bottom w:val="none" w:sz="0" w:space="0" w:color="auto"/>
        <w:right w:val="none" w:sz="0" w:space="0" w:color="auto"/>
      </w:divBdr>
    </w:div>
    <w:div w:id="1987972037">
      <w:bodyDiv w:val="1"/>
      <w:marLeft w:val="0"/>
      <w:marRight w:val="0"/>
      <w:marTop w:val="0"/>
      <w:marBottom w:val="0"/>
      <w:divBdr>
        <w:top w:val="none" w:sz="0" w:space="0" w:color="auto"/>
        <w:left w:val="none" w:sz="0" w:space="0" w:color="auto"/>
        <w:bottom w:val="none" w:sz="0" w:space="0" w:color="auto"/>
        <w:right w:val="none" w:sz="0" w:space="0" w:color="auto"/>
      </w:divBdr>
    </w:div>
    <w:div w:id="2014532285">
      <w:bodyDiv w:val="1"/>
      <w:marLeft w:val="0"/>
      <w:marRight w:val="0"/>
      <w:marTop w:val="0"/>
      <w:marBottom w:val="0"/>
      <w:divBdr>
        <w:top w:val="none" w:sz="0" w:space="0" w:color="auto"/>
        <w:left w:val="none" w:sz="0" w:space="0" w:color="auto"/>
        <w:bottom w:val="none" w:sz="0" w:space="0" w:color="auto"/>
        <w:right w:val="none" w:sz="0" w:space="0" w:color="auto"/>
      </w:divBdr>
    </w:div>
    <w:div w:id="208483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olkswagena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igogho@ford.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rasha.ghanem@bcw-global.com" TargetMode="External"/><Relationship Id="rId4" Type="http://schemas.openxmlformats.org/officeDocument/2006/relationships/webSettings" Target="webSettings.xml"/><Relationship Id="rId9" Type="http://schemas.openxmlformats.org/officeDocument/2006/relationships/hyperlink" Target="http://www.argo.ai"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1942</Words>
  <Characters>11070</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Flake, Jennifer (J.)</dc:creator>
  <cp:lastModifiedBy>AlHamed, Sadiq</cp:lastModifiedBy>
  <cp:revision>4</cp:revision>
  <cp:lastPrinted>2019-07-12T01:57:00Z</cp:lastPrinted>
  <dcterms:created xsi:type="dcterms:W3CDTF">2019-07-12T04:33:00Z</dcterms:created>
  <dcterms:modified xsi:type="dcterms:W3CDTF">2019-07-14T07:39:00Z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